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35" w:rsidRDefault="002B7744">
      <w:pPr>
        <w:pStyle w:val="1"/>
        <w:spacing w:before="0" w:line="360" w:lineRule="auto"/>
        <w:jc w:val="center"/>
        <w:rPr>
          <w:rFonts w:ascii="Times New Roman" w:hAnsi="Times New Roman"/>
          <w:color w:val="000000"/>
        </w:rPr>
      </w:pPr>
      <w:bookmarkStart w:id="0" w:name="_Toc70668251"/>
      <w:bookmarkEnd w:id="0"/>
      <w:r>
        <w:rPr>
          <w:rFonts w:ascii="Times New Roman" w:hAnsi="Times New Roman"/>
          <w:color w:val="000000"/>
        </w:rPr>
        <w:t>ВВЕДЕНИЕ</w:t>
      </w:r>
    </w:p>
    <w:p w:rsidR="00CB4835" w:rsidRDefault="002B7744">
      <w:pPr>
        <w:pStyle w:val="a3"/>
        <w:spacing w:before="0" w:beforeAutospacing="0" w:after="0" w:afterAutospacing="0" w:line="360" w:lineRule="auto"/>
        <w:ind w:firstLine="709"/>
        <w:jc w:val="both"/>
        <w:rPr>
          <w:color w:val="000000"/>
          <w:sz w:val="28"/>
          <w:szCs w:val="28"/>
        </w:rPr>
      </w:pPr>
      <w:r>
        <w:rPr>
          <w:b/>
          <w:color w:val="000000"/>
          <w:sz w:val="28"/>
          <w:szCs w:val="28"/>
        </w:rPr>
        <w:t>Актуальность исследования</w:t>
      </w:r>
      <w:r>
        <w:rPr>
          <w:color w:val="000000"/>
          <w:sz w:val="28"/>
          <w:szCs w:val="28"/>
        </w:rPr>
        <w:t>. С 1 июня 2015 года в Гражданском кодексе РФ (далее по тексту – ГК РФ) появилась статья 434.1 «Переговоры о</w:t>
      </w:r>
      <w:r>
        <w:rPr>
          <w:color w:val="000000"/>
          <w:sz w:val="28"/>
          <w:szCs w:val="28"/>
        </w:rPr>
        <w:t xml:space="preserve"> заключении договора»</w:t>
      </w:r>
      <w:r>
        <w:rPr>
          <w:rStyle w:val="a8"/>
          <w:color w:val="000000"/>
          <w:sz w:val="28"/>
          <w:szCs w:val="28"/>
        </w:rPr>
        <w:footnoteReference w:id="1"/>
      </w:r>
      <w:r>
        <w:rPr>
          <w:color w:val="000000"/>
          <w:sz w:val="28"/>
          <w:szCs w:val="28"/>
        </w:rPr>
        <w:t>.  Общий порядок заключения договора не претерпел изменений, однако законодателем были установлены требования к проведению переговоров, а также введена так называемая преддоговорная ответственность. Новые положения носят общий характе</w:t>
      </w:r>
      <w:r>
        <w:rPr>
          <w:color w:val="000000"/>
          <w:sz w:val="28"/>
          <w:szCs w:val="28"/>
        </w:rPr>
        <w:t xml:space="preserve">р и подлежат применению при заключении любого гражданско-правового соглашения. Законодатель, тем самым, гарантирует защиту добросовестных участников гражданского оборота от безответственных действий их потенциальных контрагентов по договорам.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Юридическая </w:t>
      </w:r>
      <w:r>
        <w:rPr>
          <w:rFonts w:ascii="Times New Roman" w:hAnsi="Times New Roman"/>
          <w:color w:val="000000"/>
          <w:sz w:val="28"/>
          <w:szCs w:val="28"/>
        </w:rPr>
        <w:t>природа преддоговорной ответственности в содержании ГК РФ не проясняется. Данный вопрос в науке гражданского права является достаточно дискуссионным</w:t>
      </w:r>
      <w:r>
        <w:rPr>
          <w:rStyle w:val="a8"/>
          <w:rFonts w:ascii="Times New Roman" w:hAnsi="Times New Roman"/>
          <w:color w:val="000000"/>
          <w:sz w:val="28"/>
          <w:szCs w:val="28"/>
        </w:rPr>
        <w:footnoteReference w:id="2"/>
      </w:r>
      <w:r>
        <w:rPr>
          <w:rFonts w:ascii="Times New Roman" w:hAnsi="Times New Roman"/>
          <w:color w:val="000000"/>
          <w:sz w:val="28"/>
          <w:szCs w:val="28"/>
        </w:rPr>
        <w:t>. Однако высшая судебная инстанция прямо указала в п. 19 Постановления Пленума Верховного Суда РФ от 24 мар</w:t>
      </w:r>
      <w:r>
        <w:rPr>
          <w:rFonts w:ascii="Times New Roman" w:hAnsi="Times New Roman"/>
          <w:color w:val="000000"/>
          <w:sz w:val="28"/>
          <w:szCs w:val="28"/>
        </w:rPr>
        <w:t>та 2016 г. № 7, что к такого рода требованиям применяются положения гл. 59 ГК РФ субсидиарно</w:t>
      </w:r>
      <w:r>
        <w:rPr>
          <w:rStyle w:val="a8"/>
          <w:rFonts w:ascii="Times New Roman" w:hAnsi="Times New Roman"/>
          <w:color w:val="000000"/>
          <w:sz w:val="28"/>
          <w:szCs w:val="28"/>
        </w:rPr>
        <w:footnoteReference w:id="3"/>
      </w:r>
      <w:r>
        <w:rPr>
          <w:rFonts w:ascii="Times New Roman" w:hAnsi="Times New Roman"/>
          <w:color w:val="000000"/>
          <w:sz w:val="28"/>
          <w:szCs w:val="28"/>
        </w:rPr>
        <w:t>. Иными словами, в судебной практике была признана деликтная природа ответственности за недобросовестное ведение переговоров.</w:t>
      </w:r>
    </w:p>
    <w:p w:rsidR="00CB4835" w:rsidRDefault="002B7744">
      <w:pPr>
        <w:spacing w:after="0" w:line="360" w:lineRule="auto"/>
        <w:ind w:firstLine="709"/>
        <w:jc w:val="both"/>
        <w:outlineLvl w:val="0"/>
        <w:rPr>
          <w:rFonts w:ascii="Times New Roman" w:hAnsi="Times New Roman"/>
          <w:color w:val="000000"/>
          <w:sz w:val="28"/>
          <w:szCs w:val="28"/>
        </w:rPr>
      </w:pPr>
      <w:bookmarkStart w:id="1" w:name="_Toc70668252"/>
      <w:bookmarkEnd w:id="1"/>
      <w:r>
        <w:rPr>
          <w:rFonts w:ascii="Times New Roman" w:hAnsi="Times New Roman"/>
          <w:b/>
          <w:color w:val="000000"/>
          <w:sz w:val="28"/>
          <w:szCs w:val="28"/>
        </w:rPr>
        <w:t xml:space="preserve">Степень научной разработанности темы </w:t>
      </w:r>
      <w:r>
        <w:rPr>
          <w:rFonts w:ascii="Times New Roman" w:hAnsi="Times New Roman"/>
          <w:b/>
          <w:color w:val="000000"/>
          <w:sz w:val="28"/>
          <w:szCs w:val="28"/>
        </w:rPr>
        <w:t>исследования</w:t>
      </w:r>
      <w:r>
        <w:rPr>
          <w:rFonts w:ascii="Times New Roman" w:hAnsi="Times New Roman"/>
          <w:color w:val="000000"/>
          <w:sz w:val="28"/>
          <w:szCs w:val="28"/>
        </w:rPr>
        <w:t>. Вопросы правового регулирования преддоговорных отношений и преддоговорной ответственности нашли освещение в исследованиях таких авторов</w:t>
      </w:r>
      <w:bookmarkStart w:id="2" w:name="_Toc283399893"/>
      <w:bookmarkStart w:id="3" w:name="_Toc278186515"/>
      <w:bookmarkEnd w:id="2"/>
      <w:bookmarkEnd w:id="3"/>
      <w:r>
        <w:rPr>
          <w:rFonts w:ascii="Times New Roman" w:hAnsi="Times New Roman"/>
          <w:color w:val="000000"/>
          <w:sz w:val="28"/>
          <w:szCs w:val="28"/>
        </w:rPr>
        <w:t xml:space="preserve">, как: И. В. Бекленищева, В. И. Богатова, К. В. Гницевич, М. А. Каримов, А. Н. Кучер, К. Д. Очинникова, В. </w:t>
      </w:r>
      <w:r>
        <w:rPr>
          <w:rFonts w:ascii="Times New Roman" w:hAnsi="Times New Roman"/>
          <w:color w:val="000000"/>
          <w:sz w:val="28"/>
          <w:szCs w:val="28"/>
        </w:rPr>
        <w:t xml:space="preserve">Г. Полякевич, Т. А. Терещенко, и других. </w:t>
      </w:r>
    </w:p>
    <w:p w:rsidR="00CB4835" w:rsidRDefault="002B7744">
      <w:pPr>
        <w:spacing w:after="0" w:line="360" w:lineRule="auto"/>
        <w:ind w:firstLine="709"/>
        <w:jc w:val="both"/>
        <w:outlineLvl w:val="0"/>
        <w:rPr>
          <w:rFonts w:ascii="Times New Roman" w:hAnsi="Times New Roman"/>
          <w:color w:val="000000"/>
          <w:sz w:val="28"/>
          <w:szCs w:val="28"/>
        </w:rPr>
      </w:pPr>
      <w:bookmarkStart w:id="4" w:name="_Toc283399895"/>
      <w:bookmarkStart w:id="5" w:name="_Toc278186517"/>
      <w:bookmarkStart w:id="6" w:name="_Toc70668253"/>
      <w:bookmarkEnd w:id="4"/>
      <w:bookmarkEnd w:id="5"/>
      <w:bookmarkEnd w:id="6"/>
      <w:r>
        <w:rPr>
          <w:rFonts w:ascii="Times New Roman" w:hAnsi="Times New Roman"/>
          <w:b/>
          <w:bCs/>
          <w:color w:val="000000"/>
          <w:sz w:val="28"/>
          <w:szCs w:val="28"/>
        </w:rPr>
        <w:t xml:space="preserve">Объект исследования </w:t>
      </w:r>
      <w:r>
        <w:rPr>
          <w:rFonts w:ascii="Times New Roman" w:hAnsi="Times New Roman"/>
          <w:bCs/>
          <w:color w:val="000000"/>
          <w:sz w:val="28"/>
          <w:szCs w:val="28"/>
        </w:rPr>
        <w:t xml:space="preserve">представлен правоотношениями сторон, </w:t>
      </w:r>
      <w:r>
        <w:rPr>
          <w:rFonts w:ascii="Times New Roman" w:hAnsi="Times New Roman"/>
          <w:color w:val="000000"/>
          <w:sz w:val="28"/>
          <w:szCs w:val="28"/>
        </w:rPr>
        <w:t>возникающими на предшествующей заключению договора стадии</w:t>
      </w:r>
      <w:bookmarkStart w:id="7" w:name="_Toc283399896"/>
      <w:bookmarkStart w:id="8" w:name="_Toc278186518"/>
      <w:bookmarkEnd w:id="7"/>
      <w:bookmarkEnd w:id="8"/>
      <w:r>
        <w:rPr>
          <w:rFonts w:ascii="Times New Roman" w:hAnsi="Times New Roman"/>
          <w:color w:val="000000"/>
          <w:sz w:val="28"/>
          <w:szCs w:val="28"/>
        </w:rPr>
        <w:t>.</w:t>
      </w:r>
    </w:p>
    <w:p w:rsidR="00CB4835" w:rsidRDefault="002B7744">
      <w:pPr>
        <w:pStyle w:val="10"/>
        <w:shd w:val="clear" w:color="auto" w:fill="auto"/>
        <w:spacing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Предмет исследования </w:t>
      </w:r>
      <w:r>
        <w:rPr>
          <w:rFonts w:ascii="Times New Roman" w:hAnsi="Times New Roman" w:cs="Times New Roman"/>
          <w:color w:val="000000"/>
          <w:sz w:val="28"/>
          <w:szCs w:val="28"/>
        </w:rPr>
        <w:t>представлен нормами отечественного гражданского права России, регулирующими о</w:t>
      </w:r>
      <w:r>
        <w:rPr>
          <w:rFonts w:ascii="Times New Roman" w:hAnsi="Times New Roman" w:cs="Times New Roman"/>
          <w:color w:val="000000"/>
          <w:sz w:val="28"/>
          <w:szCs w:val="28"/>
        </w:rPr>
        <w:t xml:space="preserve">тношения сторон на стадии, предшествующей заключению договора, современными научными представлениями, а также практикой применения законодательства в контексте темы работы. </w:t>
      </w:r>
    </w:p>
    <w:p w:rsidR="00CB4835" w:rsidRDefault="002B7744">
      <w:pPr>
        <w:spacing w:after="0" w:line="360" w:lineRule="auto"/>
        <w:ind w:firstLine="709"/>
        <w:jc w:val="both"/>
        <w:outlineLvl w:val="0"/>
        <w:rPr>
          <w:rFonts w:ascii="Times New Roman" w:hAnsi="Times New Roman"/>
          <w:color w:val="000000"/>
          <w:sz w:val="28"/>
          <w:szCs w:val="28"/>
        </w:rPr>
      </w:pPr>
      <w:bookmarkStart w:id="9" w:name="_Toc283399897"/>
      <w:bookmarkStart w:id="10" w:name="_Toc278186519"/>
      <w:bookmarkStart w:id="11" w:name="_Toc283399898"/>
      <w:bookmarkStart w:id="12" w:name="_Toc278186520"/>
      <w:bookmarkStart w:id="13" w:name="_Toc70668254"/>
      <w:bookmarkEnd w:id="9"/>
      <w:bookmarkEnd w:id="10"/>
      <w:bookmarkEnd w:id="11"/>
      <w:bookmarkEnd w:id="12"/>
      <w:bookmarkEnd w:id="13"/>
      <w:r>
        <w:rPr>
          <w:rFonts w:ascii="Times New Roman" w:hAnsi="Times New Roman"/>
          <w:b/>
          <w:bCs/>
          <w:color w:val="000000"/>
          <w:sz w:val="28"/>
          <w:szCs w:val="28"/>
        </w:rPr>
        <w:t>Цель исследования состоит в изучении</w:t>
      </w:r>
      <w:r>
        <w:rPr>
          <w:rFonts w:ascii="Times New Roman" w:hAnsi="Times New Roman"/>
          <w:color w:val="000000"/>
          <w:sz w:val="28"/>
          <w:szCs w:val="28"/>
        </w:rPr>
        <w:t xml:space="preserve"> особенностей преддоговорных правоотношений по</w:t>
      </w:r>
      <w:r>
        <w:rPr>
          <w:rFonts w:ascii="Times New Roman" w:hAnsi="Times New Roman"/>
          <w:color w:val="000000"/>
          <w:sz w:val="28"/>
          <w:szCs w:val="28"/>
        </w:rPr>
        <w:t xml:space="preserve"> законодательству РФ. </w:t>
      </w:r>
      <w:r>
        <w:rPr>
          <w:rFonts w:ascii="Times New Roman" w:hAnsi="Times New Roman"/>
          <w:b/>
          <w:color w:val="000000"/>
          <w:sz w:val="28"/>
          <w:szCs w:val="28"/>
        </w:rPr>
        <w:t xml:space="preserve">Задачи </w:t>
      </w:r>
      <w:r>
        <w:rPr>
          <w:rFonts w:ascii="Times New Roman" w:hAnsi="Times New Roman"/>
          <w:color w:val="000000"/>
          <w:sz w:val="28"/>
          <w:szCs w:val="28"/>
        </w:rPr>
        <w:t>исследования: 1) рассмотреть основные принципы ведения переговоров; 2) изучить требования к содержанию соглашения о порядке ведения переговоров; 3) провести анализ оснований преддоговорной ответственности; 4) изучить подходы су</w:t>
      </w:r>
      <w:r>
        <w:rPr>
          <w:rFonts w:ascii="Times New Roman" w:hAnsi="Times New Roman"/>
          <w:color w:val="000000"/>
          <w:sz w:val="28"/>
          <w:szCs w:val="28"/>
        </w:rPr>
        <w:t>дов к рассмотрению преддоговорных споров.</w:t>
      </w:r>
    </w:p>
    <w:p w:rsidR="00CB4835" w:rsidRDefault="002B7744">
      <w:pPr>
        <w:spacing w:after="0" w:line="360" w:lineRule="auto"/>
        <w:ind w:firstLine="709"/>
        <w:jc w:val="both"/>
        <w:rPr>
          <w:rFonts w:ascii="Times New Roman" w:hAnsi="Times New Roman"/>
          <w:color w:val="000000"/>
          <w:sz w:val="28"/>
          <w:szCs w:val="28"/>
        </w:rPr>
      </w:pPr>
      <w:r>
        <w:rPr>
          <w:rFonts w:ascii="Times New Roman" w:eastAsia="Times New Roman" w:hAnsi="Times New Roman"/>
          <w:b/>
          <w:color w:val="000000"/>
          <w:sz w:val="28"/>
          <w:szCs w:val="28"/>
        </w:rPr>
        <w:t>Методологическая основа исследования</w:t>
      </w:r>
      <w:r>
        <w:rPr>
          <w:rFonts w:ascii="Times New Roman" w:eastAsia="Times New Roman" w:hAnsi="Times New Roman"/>
          <w:color w:val="000000"/>
          <w:sz w:val="28"/>
          <w:szCs w:val="28"/>
        </w:rPr>
        <w:t xml:space="preserve">. </w:t>
      </w:r>
      <w:r>
        <w:rPr>
          <w:rFonts w:ascii="Times New Roman" w:hAnsi="Times New Roman"/>
          <w:color w:val="000000"/>
          <w:sz w:val="28"/>
          <w:szCs w:val="28"/>
        </w:rPr>
        <w:t xml:space="preserve">Исследование осуществлено с помощью общенаучных методов познания – метода материалистической диалектики, метода системного анализа и синтеза, а также частнонаучных методов – </w:t>
      </w:r>
      <w:r>
        <w:rPr>
          <w:rFonts w:ascii="Times New Roman" w:hAnsi="Times New Roman"/>
          <w:color w:val="000000"/>
          <w:sz w:val="28"/>
          <w:szCs w:val="28"/>
        </w:rPr>
        <w:t>формально-юридического (определение юридических понятий, выявление их признаков, толкование правовых предписаний), сравнительно-правового метода (выявление сходства и различий аналогов иностранных институтов, появившихся в ГК РФ).</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Теоретическая основа</w:t>
      </w:r>
      <w:r>
        <w:rPr>
          <w:rFonts w:ascii="Times New Roman" w:hAnsi="Times New Roman"/>
          <w:color w:val="000000"/>
          <w:sz w:val="28"/>
          <w:szCs w:val="28"/>
        </w:rPr>
        <w:t xml:space="preserve"> иссл</w:t>
      </w:r>
      <w:r>
        <w:rPr>
          <w:rFonts w:ascii="Times New Roman" w:hAnsi="Times New Roman"/>
          <w:color w:val="000000"/>
          <w:sz w:val="28"/>
          <w:szCs w:val="28"/>
        </w:rPr>
        <w:t xml:space="preserve">едования представлена научными и учебными трудами, материалами научной периодической литературы, посвященной теме исследования.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Нормативная основа</w:t>
      </w:r>
      <w:r>
        <w:rPr>
          <w:rFonts w:ascii="Times New Roman" w:hAnsi="Times New Roman"/>
          <w:color w:val="000000"/>
          <w:sz w:val="28"/>
          <w:szCs w:val="28"/>
        </w:rPr>
        <w:t xml:space="preserve"> исследования представлена федеральным законодательством и подзаконными актами, регламентирующими </w:t>
      </w:r>
      <w:r>
        <w:rPr>
          <w:rFonts w:ascii="Times New Roman" w:hAnsi="Times New Roman"/>
          <w:color w:val="000000"/>
          <w:sz w:val="28"/>
          <w:szCs w:val="28"/>
        </w:rPr>
        <w:t xml:space="preserve">преддоговорные правоотношения в РФ. </w:t>
      </w:r>
    </w:p>
    <w:p w:rsidR="00CB4835" w:rsidRDefault="002B7744">
      <w:pPr>
        <w:spacing w:after="0" w:line="360" w:lineRule="auto"/>
        <w:ind w:firstLine="709"/>
        <w:jc w:val="both"/>
        <w:rPr>
          <w:rFonts w:ascii="Times New Roman" w:eastAsia="Times New Roman" w:hAnsi="Times New Roman"/>
          <w:color w:val="000000"/>
          <w:sz w:val="28"/>
          <w:szCs w:val="28"/>
        </w:rPr>
      </w:pPr>
      <w:r>
        <w:rPr>
          <w:rFonts w:ascii="Times New Roman" w:hAnsi="Times New Roman"/>
          <w:b/>
          <w:color w:val="000000"/>
          <w:sz w:val="28"/>
          <w:szCs w:val="28"/>
        </w:rPr>
        <w:t>Эмпирическая основа</w:t>
      </w:r>
      <w:r>
        <w:rPr>
          <w:rFonts w:ascii="Times New Roman" w:hAnsi="Times New Roman"/>
          <w:color w:val="000000"/>
          <w:sz w:val="28"/>
          <w:szCs w:val="28"/>
        </w:rPr>
        <w:t xml:space="preserve"> исследования состоит из материалов правоприменительной практики в сфере преддоговорных правоотношений.</w:t>
      </w:r>
    </w:p>
    <w:p w:rsidR="00CB4835" w:rsidRDefault="002B774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Данная работа имеет последовательную </w:t>
      </w:r>
      <w:r>
        <w:rPr>
          <w:rFonts w:ascii="Times New Roman" w:eastAsia="Times New Roman" w:hAnsi="Times New Roman"/>
          <w:b/>
          <w:color w:val="000000"/>
          <w:sz w:val="28"/>
          <w:szCs w:val="28"/>
        </w:rPr>
        <w:t>структуру</w:t>
      </w:r>
      <w:r>
        <w:rPr>
          <w:rFonts w:ascii="Times New Roman" w:eastAsia="Times New Roman" w:hAnsi="Times New Roman"/>
          <w:color w:val="000000"/>
          <w:sz w:val="28"/>
          <w:szCs w:val="28"/>
        </w:rPr>
        <w:t xml:space="preserve"> построения и состоит из введения, основной части,</w:t>
      </w:r>
      <w:r>
        <w:rPr>
          <w:rFonts w:ascii="Times New Roman" w:eastAsia="Times New Roman" w:hAnsi="Times New Roman"/>
          <w:color w:val="000000"/>
          <w:sz w:val="28"/>
          <w:szCs w:val="28"/>
        </w:rPr>
        <w:t xml:space="preserve"> разделенной на две главы и подразделы, заключения, списка нормативно-правовых актов и использованной литературы.</w:t>
      </w:r>
    </w:p>
    <w:p w:rsidR="00CB4835" w:rsidRDefault="002B7744">
      <w:pPr>
        <w:pStyle w:val="1"/>
        <w:spacing w:before="0" w:line="360" w:lineRule="auto"/>
        <w:jc w:val="center"/>
        <w:rPr>
          <w:rFonts w:ascii="Times New Roman" w:hAnsi="Times New Roman"/>
          <w:color w:val="000000"/>
        </w:rPr>
      </w:pPr>
      <w:bookmarkStart w:id="14" w:name="_Toc70668255"/>
      <w:bookmarkEnd w:id="14"/>
      <w:r>
        <w:rPr>
          <w:rFonts w:ascii="Times New Roman" w:hAnsi="Times New Roman"/>
          <w:color w:val="000000"/>
        </w:rPr>
        <w:lastRenderedPageBreak/>
        <w:t>ГЛАВА 1. ОБЩАЯ ХАРАКТЕРИСТИКА ПЕРЕГОВОРОВ О ЗАКЛЮЧЕНИИ ДОГОВОРА</w:t>
      </w:r>
    </w:p>
    <w:p w:rsidR="00CB4835" w:rsidRDefault="00CB4835">
      <w:pPr>
        <w:pStyle w:val="1"/>
        <w:spacing w:before="0" w:line="360" w:lineRule="auto"/>
        <w:jc w:val="center"/>
        <w:rPr>
          <w:rFonts w:ascii="Times New Roman" w:hAnsi="Times New Roman"/>
          <w:color w:val="000000"/>
        </w:rPr>
      </w:pPr>
    </w:p>
    <w:p w:rsidR="00CB4835" w:rsidRDefault="002B7744">
      <w:pPr>
        <w:pStyle w:val="1"/>
        <w:spacing w:before="0" w:line="360" w:lineRule="auto"/>
        <w:jc w:val="center"/>
        <w:rPr>
          <w:rFonts w:ascii="Times New Roman" w:hAnsi="Times New Roman"/>
          <w:color w:val="000000"/>
        </w:rPr>
      </w:pPr>
      <w:bookmarkStart w:id="15" w:name="_Toc70668256"/>
      <w:bookmarkEnd w:id="15"/>
      <w:r>
        <w:rPr>
          <w:rFonts w:ascii="Times New Roman" w:hAnsi="Times New Roman"/>
          <w:color w:val="000000"/>
        </w:rPr>
        <w:t>1.1. Цель и основные принципы ведения переговоров</w:t>
      </w: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Изучаемая ст. 434. 1 ГК РФ</w:t>
      </w:r>
      <w:r>
        <w:rPr>
          <w:color w:val="000000"/>
          <w:sz w:val="28"/>
          <w:szCs w:val="28"/>
        </w:rPr>
        <w:t xml:space="preserve"> закрепила ряд принципов ведения переговоров: 1) свобода граждан и юридических лиц в проведении переговоров о заключении договора </w:t>
      </w:r>
      <w:r>
        <w:rPr>
          <w:rFonts w:eastAsia="Times New Roman"/>
          <w:color w:val="000000"/>
          <w:sz w:val="28"/>
          <w:szCs w:val="28"/>
        </w:rPr>
        <w:t>(п. 1 ст. 434.1 ГК РФ); 2) стороны самостоятельно несут расходы, связанные с проведением переговоров (п. 1 ст. 434.1 ГК РФ); 3</w:t>
      </w:r>
      <w:r>
        <w:rPr>
          <w:rFonts w:eastAsia="Times New Roman"/>
          <w:color w:val="000000"/>
          <w:sz w:val="28"/>
          <w:szCs w:val="28"/>
        </w:rPr>
        <w:t>) стороны не отвечают за то, что соглашение не достигнуто (п. 1 ст. 434.1 ГК РФ); 4) стороны обязаны действовать добросовестно (п. 2 ст. 434.1 ГК РФ); 5) сторона, получившая конфиденциальную информацию, обязана не раскрывать эту информацию и не использоват</w:t>
      </w:r>
      <w:r>
        <w:rPr>
          <w:rFonts w:eastAsia="Times New Roman"/>
          <w:color w:val="000000"/>
          <w:sz w:val="28"/>
          <w:szCs w:val="28"/>
        </w:rPr>
        <w:t>ь ее ненадлежащим образом для своих целей (п. 4 ст. 434.1 ГК РФ); 6) стороны могут заключить соглашение о порядке ведения переговоров (п. 5 ст. 434.1 ГК РФ).</w:t>
      </w:r>
    </w:p>
    <w:p w:rsidR="00CB4835" w:rsidRDefault="002B7744">
      <w:pPr>
        <w:pStyle w:val="a3"/>
        <w:spacing w:before="0" w:beforeAutospacing="0" w:after="0" w:afterAutospacing="0" w:line="360" w:lineRule="auto"/>
        <w:ind w:firstLine="709"/>
        <w:jc w:val="both"/>
        <w:rPr>
          <w:color w:val="000000"/>
          <w:sz w:val="28"/>
          <w:szCs w:val="28"/>
        </w:rPr>
      </w:pPr>
      <w:r>
        <w:rPr>
          <w:rFonts w:eastAsia="Times New Roman"/>
          <w:color w:val="000000"/>
          <w:sz w:val="28"/>
          <w:szCs w:val="28"/>
        </w:rPr>
        <w:t>Первый принцип, закрепленный законодателем в п. 1 ст. 434.1 ГК РФ предписывает свободное волеизъяв</w:t>
      </w:r>
      <w:r>
        <w:rPr>
          <w:rFonts w:eastAsia="Times New Roman"/>
          <w:color w:val="000000"/>
          <w:sz w:val="28"/>
          <w:szCs w:val="28"/>
        </w:rPr>
        <w:t xml:space="preserve">ление граждан и организаций в проведении переговоров о заключении договора. Этим принципом существенно дополняется фундаментальный принцип свободы договора, содержащийся в ст. 421 ГК РФ. </w:t>
      </w:r>
      <w:r>
        <w:rPr>
          <w:color w:val="000000"/>
          <w:sz w:val="28"/>
          <w:szCs w:val="28"/>
        </w:rPr>
        <w:t>Этот же принцип нашел свое отражение в п. 1 ст. 2.15 Принципов междун</w:t>
      </w:r>
      <w:r>
        <w:rPr>
          <w:color w:val="000000"/>
          <w:sz w:val="28"/>
          <w:szCs w:val="28"/>
        </w:rPr>
        <w:t>ародных коммерческих договоров УНИДРУА (далее по тексту – Принципы УНИДРУА): «Сторона свободна проводить переговоры...»</w:t>
      </w:r>
      <w:r>
        <w:rPr>
          <w:rStyle w:val="a8"/>
          <w:color w:val="000000"/>
          <w:sz w:val="28"/>
          <w:szCs w:val="28"/>
        </w:rPr>
        <w:footnoteReference w:id="4"/>
      </w:r>
      <w:r>
        <w:rPr>
          <w:color w:val="000000"/>
          <w:sz w:val="28"/>
          <w:szCs w:val="28"/>
        </w:rPr>
        <w:t>.</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Данный принцип означает, что участники гражданских правоотношений свободны в ведении</w:t>
      </w:r>
      <w:r>
        <w:rPr>
          <w:rFonts w:eastAsia="Times New Roman"/>
          <w:color w:val="000000"/>
          <w:sz w:val="28"/>
          <w:szCs w:val="28"/>
        </w:rPr>
        <w:t xml:space="preserve"> переговоров с неограниченным кругом потенциальных</w:t>
      </w:r>
      <w:r>
        <w:rPr>
          <w:rFonts w:eastAsia="Times New Roman"/>
          <w:color w:val="000000"/>
          <w:sz w:val="28"/>
          <w:szCs w:val="28"/>
        </w:rPr>
        <w:t xml:space="preserve"> клиентов на предмет заключения договора и в предложении более подходящих для них условий заключения договора. Однако, данные правила носят </w:t>
      </w:r>
      <w:r>
        <w:rPr>
          <w:rFonts w:eastAsia="Times New Roman"/>
          <w:color w:val="000000"/>
          <w:sz w:val="28"/>
          <w:szCs w:val="28"/>
        </w:rPr>
        <w:lastRenderedPageBreak/>
        <w:t xml:space="preserve">диспозитивный характер, это означает, что стороны могут отступить от предписываемого законом порядка. </w:t>
      </w:r>
    </w:p>
    <w:p w:rsidR="00CB4835" w:rsidRDefault="002B7744">
      <w:pPr>
        <w:pStyle w:val="a3"/>
        <w:spacing w:before="0" w:beforeAutospacing="0" w:after="0" w:afterAutospacing="0" w:line="360" w:lineRule="auto"/>
        <w:ind w:firstLine="709"/>
        <w:jc w:val="both"/>
        <w:rPr>
          <w:color w:val="000000"/>
          <w:sz w:val="28"/>
          <w:szCs w:val="28"/>
        </w:rPr>
      </w:pPr>
      <w:r>
        <w:rPr>
          <w:rFonts w:eastAsia="Times New Roman"/>
          <w:color w:val="000000"/>
          <w:sz w:val="28"/>
          <w:szCs w:val="28"/>
        </w:rPr>
        <w:t xml:space="preserve">Второй </w:t>
      </w:r>
      <w:r>
        <w:rPr>
          <w:rFonts w:eastAsia="Times New Roman"/>
          <w:color w:val="000000"/>
          <w:sz w:val="28"/>
          <w:szCs w:val="28"/>
        </w:rPr>
        <w:t xml:space="preserve">принцип – самостоятельное несение расходов, связанных с проведением переговоров. </w:t>
      </w:r>
      <w:r>
        <w:rPr>
          <w:color w:val="000000"/>
          <w:sz w:val="28"/>
          <w:szCs w:val="28"/>
        </w:rPr>
        <w:t>Сторона, вступающая в переговоры, рассчитывает на получение прибыли в результате подписания договора и понимает, что издержки, которые она несет, будут покрыты ценностью испол</w:t>
      </w:r>
      <w:r>
        <w:rPr>
          <w:color w:val="000000"/>
          <w:sz w:val="28"/>
          <w:szCs w:val="28"/>
        </w:rPr>
        <w:t xml:space="preserve">нения такого договора. Это правило также носит диспозитивный характер и позволяет сторонам, вступающим в преддоговорные отношения, отступить от предписаний закона. </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 xml:space="preserve">Третий принцип – законом не предусмотрена ответственность за недостижение соглашения между </w:t>
      </w:r>
      <w:r>
        <w:rPr>
          <w:color w:val="000000"/>
          <w:sz w:val="28"/>
          <w:szCs w:val="28"/>
        </w:rPr>
        <w:t xml:space="preserve">сторонами. Очевидно, что контрагента нельзя заставить заключить договор, если он не намерен этого делать. </w:t>
      </w:r>
      <w:r>
        <w:rPr>
          <w:rFonts w:eastAsia="Times New Roman"/>
          <w:bCs/>
          <w:color w:val="000000"/>
          <w:sz w:val="28"/>
          <w:szCs w:val="28"/>
        </w:rPr>
        <w:t>Это же правило содержат и Принципы УНИДРУА (п. 1 ст. 2.15)</w:t>
      </w:r>
      <w:r>
        <w:rPr>
          <w:rFonts w:eastAsia="Times New Roman"/>
          <w:color w:val="000000"/>
          <w:sz w:val="28"/>
          <w:szCs w:val="28"/>
        </w:rPr>
        <w:t>. Данное законодательное установление является логичным, поскольку переговоры представляют с</w:t>
      </w:r>
      <w:r>
        <w:rPr>
          <w:rFonts w:eastAsia="Times New Roman"/>
          <w:color w:val="000000"/>
          <w:sz w:val="28"/>
          <w:szCs w:val="28"/>
        </w:rPr>
        <w:t xml:space="preserve">обой процесс согласовательный, и он не всегда приводит к заключению договора. Действиям сторон на данном этапе нельзя давать характеристику действий, которые свойственны заключению и исполнению договора. </w:t>
      </w:r>
      <w:r>
        <w:rPr>
          <w:color w:val="000000"/>
          <w:sz w:val="28"/>
          <w:szCs w:val="28"/>
        </w:rPr>
        <w:t>То обстоятельство, что потенциальные контрагенты вст</w:t>
      </w:r>
      <w:r>
        <w:rPr>
          <w:color w:val="000000"/>
          <w:sz w:val="28"/>
          <w:szCs w:val="28"/>
        </w:rPr>
        <w:t>упили в переговорный процесс, не служит заменой оферты, предварительного договора либо опциона на заключение договора, по этой причине у сторон не возникают обязанности совершить сделку. Кроме того начало переговорного процесса не ограничивает потенциально</w:t>
      </w:r>
      <w:r>
        <w:rPr>
          <w:color w:val="000000"/>
          <w:sz w:val="28"/>
          <w:szCs w:val="28"/>
        </w:rPr>
        <w:t xml:space="preserve">го контрагента в ее праве выбрать другого партнера. Законодатель установил стандарт добросовестного поведения в рамках ведения переговоров, однако это не возлагает на стороны обязанность заключить соглашение. По этой причине до того момента, </w:t>
      </w:r>
      <w:r>
        <w:rPr>
          <w:rStyle w:val="btn"/>
          <w:vanish/>
          <w:color w:val="000000"/>
          <w:sz w:val="28"/>
          <w:szCs w:val="28"/>
        </w:rPr>
        <w:t>1</w:t>
      </w:r>
      <w:r>
        <w:rPr>
          <w:color w:val="000000"/>
          <w:sz w:val="28"/>
          <w:szCs w:val="28"/>
        </w:rPr>
        <w:t xml:space="preserve">пока сторона </w:t>
      </w:r>
      <w:r>
        <w:rPr>
          <w:color w:val="000000"/>
          <w:sz w:val="28"/>
          <w:szCs w:val="28"/>
        </w:rPr>
        <w:t>не связана обязанностью вести переговоры и (или) заключить договор в силу соглашения или закона, она вправе в любой момент прервать переговорный процесс без объяснения причин. На эту особенность указала высшая судебная инстанция в абз. 2 п. 19 Постановлени</w:t>
      </w:r>
      <w:r>
        <w:rPr>
          <w:color w:val="000000"/>
          <w:sz w:val="28"/>
          <w:szCs w:val="28"/>
        </w:rPr>
        <w:t xml:space="preserve">я Пленума от 24 марта 2016 г. № 7 «О применении судами некоторых положений Гражданского </w:t>
      </w:r>
      <w:r>
        <w:rPr>
          <w:color w:val="000000"/>
          <w:sz w:val="28"/>
          <w:szCs w:val="28"/>
        </w:rPr>
        <w:lastRenderedPageBreak/>
        <w:t>кодекса РФ об ответственности за нарушение обязательств»</w:t>
      </w:r>
      <w:r>
        <w:rPr>
          <w:rStyle w:val="a8"/>
          <w:color w:val="000000"/>
          <w:sz w:val="28"/>
          <w:szCs w:val="28"/>
        </w:rPr>
        <w:footnoteReference w:id="5"/>
      </w:r>
      <w:r>
        <w:rPr>
          <w:color w:val="000000"/>
          <w:sz w:val="28"/>
          <w:szCs w:val="28"/>
        </w:rPr>
        <w:t xml:space="preserve"> (далее по тексту – Постановление № 7).</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По общему правилу презюмируется добросовестность участников гражданских</w:t>
      </w:r>
      <w:r>
        <w:rPr>
          <w:color w:val="000000"/>
          <w:sz w:val="28"/>
          <w:szCs w:val="28"/>
        </w:rPr>
        <w:t xml:space="preserve"> правоотношений и разумность их действий (п. 5 ст. 10 ГК РФ). Физические и юридические лица обладают свободой в заключении договора и во вступлении в переговорный процесс по поводу его заключения. Законом установлен запрет на понуждение к заключению догово</w:t>
      </w:r>
      <w:r>
        <w:rPr>
          <w:color w:val="000000"/>
          <w:sz w:val="28"/>
          <w:szCs w:val="28"/>
        </w:rPr>
        <w:t>ра (п. 1 ст. 421 и п. 1 ст. 434.1 ГК РФ).</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 xml:space="preserve">Четвертый принцип – добросовестность действий сторон. Данный принцип имеет одновременное действие с </w:t>
      </w:r>
      <w:r>
        <w:rPr>
          <w:rStyle w:val="btn"/>
          <w:vanish/>
          <w:color w:val="000000"/>
          <w:sz w:val="28"/>
          <w:szCs w:val="28"/>
        </w:rPr>
        <w:t>5</w:t>
      </w:r>
      <w:r>
        <w:rPr>
          <w:color w:val="000000"/>
          <w:sz w:val="28"/>
          <w:szCs w:val="28"/>
        </w:rPr>
        <w:t>принципом свободы проведения переговоров и ограничивает его определенными рамками. Это необходимо для того, чтобы</w:t>
      </w:r>
      <w:r>
        <w:rPr>
          <w:color w:val="000000"/>
          <w:sz w:val="28"/>
          <w:szCs w:val="28"/>
        </w:rPr>
        <w:t xml:space="preserve"> действия недобросовестных лиц не смогли нанести существенный вред участникам делового оборота. Важно подчеркнуть, что в ГК РФ до вступления в силу ст. 434.1 ГК РФ уже содержалось указание на действие принципа добросовестности, включая стадию ведения перег</w:t>
      </w:r>
      <w:r>
        <w:rPr>
          <w:color w:val="000000"/>
          <w:sz w:val="28"/>
          <w:szCs w:val="28"/>
        </w:rPr>
        <w:t>оворов. В частности п. 3 ст. 1 ГК РФ устанавливает требование к действиям участников гражданских правоотношений, которое состоит в том, что им предписано действовать добросовестно не только при реализации и защите гражданских прав и при исполнении гражданс</w:t>
      </w:r>
      <w:r>
        <w:rPr>
          <w:color w:val="000000"/>
          <w:sz w:val="28"/>
          <w:szCs w:val="28"/>
        </w:rPr>
        <w:t>ких обязанностей, но и при их установлении. Иными словами, такая обязанность возникает, в том числе, на стадии приобретения гражданских прав, что в полной мере применимо к переговорному процессу, предшествующему заключению договора. Законом запрещено извле</w:t>
      </w:r>
      <w:r>
        <w:rPr>
          <w:color w:val="000000"/>
          <w:sz w:val="28"/>
          <w:szCs w:val="28"/>
        </w:rPr>
        <w:t>чение преимущества из своего незаконного или недобросовестного поведения (п. 4 ст. 1 ГК РФ).</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Также, данный принцип нашел свое отражение в ст. 307 ГК РФ. Пункт 3 ст. 307 ГК РФ предписывает, что в процессе установления, исполнения обязательств и их прекращен</w:t>
      </w:r>
      <w:r>
        <w:rPr>
          <w:color w:val="000000"/>
          <w:sz w:val="28"/>
          <w:szCs w:val="28"/>
        </w:rPr>
        <w:t xml:space="preserve">ия сторонам при совершении этих действий необходимо руководствоваться: 1) </w:t>
      </w:r>
      <w:r>
        <w:rPr>
          <w:rFonts w:eastAsia="Times New Roman"/>
          <w:color w:val="000000"/>
          <w:sz w:val="28"/>
          <w:szCs w:val="28"/>
        </w:rPr>
        <w:t xml:space="preserve">добросовестностью; 2) учитывать права и </w:t>
      </w:r>
      <w:r>
        <w:rPr>
          <w:rFonts w:eastAsia="Times New Roman"/>
          <w:color w:val="000000"/>
          <w:sz w:val="28"/>
          <w:szCs w:val="28"/>
        </w:rPr>
        <w:lastRenderedPageBreak/>
        <w:t>законные интересы друг друга; 3) оказывать необходимое содействие для достижения цели обязательства на взаимной основе; 4) обеспечивать друг д</w:t>
      </w:r>
      <w:r>
        <w:rPr>
          <w:rFonts w:eastAsia="Times New Roman"/>
          <w:color w:val="000000"/>
          <w:sz w:val="28"/>
          <w:szCs w:val="28"/>
        </w:rPr>
        <w:t xml:space="preserve">руга необходимой информацией. </w:t>
      </w:r>
      <w:r>
        <w:rPr>
          <w:color w:val="000000"/>
          <w:sz w:val="28"/>
          <w:szCs w:val="28"/>
        </w:rPr>
        <w:t xml:space="preserve">Однако п. 2 ст. 434.1 ГК РФ содержит более детальную характеристику добросовестности в переговорном процессе, которая распространяется на все стадии этого процесса: 1) </w:t>
      </w:r>
      <w:r>
        <w:rPr>
          <w:rFonts w:eastAsia="Times New Roman"/>
          <w:color w:val="000000"/>
          <w:sz w:val="28"/>
          <w:szCs w:val="28"/>
        </w:rPr>
        <w:t>при вступлении в переговоры о заключении договора; 2) в хо</w:t>
      </w:r>
      <w:r>
        <w:rPr>
          <w:rFonts w:eastAsia="Times New Roman"/>
          <w:color w:val="000000"/>
          <w:sz w:val="28"/>
          <w:szCs w:val="28"/>
        </w:rPr>
        <w:t>де их проведения; 3) по их завершении.</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rFonts w:eastAsia="Times New Roman"/>
          <w:color w:val="000000"/>
          <w:sz w:val="28"/>
          <w:szCs w:val="28"/>
        </w:rPr>
        <w:t>Недобросовестность сторон при осуществлении переговоров о заключении договора проявляется в отсутствии намерения вступить в договорные отношения. Данный принцип также нашел свое отражение в п. 3 ст. 2.15 Принципов УНИ</w:t>
      </w:r>
      <w:r>
        <w:rPr>
          <w:rFonts w:eastAsia="Times New Roman"/>
          <w:color w:val="000000"/>
          <w:sz w:val="28"/>
          <w:szCs w:val="28"/>
        </w:rPr>
        <w:t>ДРУА. Такие ситуации хотя и выглядят абсурдно, но на практике нередки случаи, когда одна из сторон вступает в преддоговорные отношения, не имея цели заключить договор по итогам переговоров. Так поступают для того, чтобы отвлечь внимание потенциального конт</w:t>
      </w:r>
      <w:r>
        <w:rPr>
          <w:rFonts w:eastAsia="Times New Roman"/>
          <w:color w:val="000000"/>
          <w:sz w:val="28"/>
          <w:szCs w:val="28"/>
        </w:rPr>
        <w:t>рагента от заключения сделок с конкурентом недобросовестного участника переговорного процесса; извлечь необходимую информацию, имеющую ценность для ведения предпринимательской деятельности; подчеркнуть коммерческую привлекательность в глазах партнеров.</w:t>
      </w:r>
    </w:p>
    <w:p w:rsidR="00CB4835" w:rsidRDefault="002B7744">
      <w:pPr>
        <w:pStyle w:val="a3"/>
        <w:spacing w:before="0" w:beforeAutospacing="0" w:after="0" w:afterAutospacing="0" w:line="360" w:lineRule="auto"/>
        <w:ind w:firstLine="709"/>
        <w:jc w:val="both"/>
        <w:rPr>
          <w:color w:val="000000"/>
          <w:sz w:val="28"/>
          <w:szCs w:val="28"/>
        </w:rPr>
      </w:pPr>
      <w:r>
        <w:rPr>
          <w:rFonts w:eastAsia="Times New Roman"/>
          <w:color w:val="000000"/>
          <w:sz w:val="28"/>
          <w:szCs w:val="28"/>
        </w:rPr>
        <w:t>При</w:t>
      </w:r>
      <w:r>
        <w:rPr>
          <w:rFonts w:eastAsia="Times New Roman"/>
          <w:color w:val="000000"/>
          <w:sz w:val="28"/>
          <w:szCs w:val="28"/>
        </w:rPr>
        <w:t xml:space="preserve"> этом переговоры могут проводиться параллельно с несколькими лицами по одному и тому же предмету договора, это обстоятельство не является свидетельством того, что у стороны отсутствует намерение подписать договор </w:t>
      </w:r>
      <w:r>
        <w:rPr>
          <w:color w:val="000000"/>
          <w:sz w:val="28"/>
          <w:szCs w:val="28"/>
        </w:rPr>
        <w:t xml:space="preserve">с одним из потенциальных партнеров, и, как </w:t>
      </w:r>
      <w:r>
        <w:rPr>
          <w:color w:val="000000"/>
          <w:sz w:val="28"/>
          <w:szCs w:val="28"/>
        </w:rPr>
        <w:t>следствие, ответственность за такие действия не наступает. Иная ситуация складывается, если ведущей параллельные переговоры стороной было принято обязательство по обеспечению эксклюзивности переговоров с определенной стороной (потенциальным контрагентом).</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Действия, которые признаются недобросовестными в переговорном процессе о заключении договора, указаны в п. 2 ст. 434.1 ГК РФ, однако по своему характеру они многообразны, поэтому представленный перечень не является исчерпывающим. В частности в ГК РФ под не</w:t>
      </w:r>
      <w:r>
        <w:rPr>
          <w:color w:val="000000"/>
          <w:sz w:val="28"/>
          <w:szCs w:val="28"/>
        </w:rPr>
        <w:t xml:space="preserve">добросовестными </w:t>
      </w:r>
      <w:r>
        <w:rPr>
          <w:color w:val="000000"/>
          <w:sz w:val="28"/>
          <w:szCs w:val="28"/>
        </w:rPr>
        <w:lastRenderedPageBreak/>
        <w:t>действиями понимаются: 1) неполное или недостоверное информирование, включая умалчивание о тех обстоятельствах,</w:t>
      </w:r>
      <w:r>
        <w:rPr>
          <w:rFonts w:eastAsia="Times New Roman"/>
          <w:color w:val="000000"/>
          <w:sz w:val="28"/>
          <w:szCs w:val="28"/>
        </w:rPr>
        <w:t xml:space="preserve"> которые в силу характера договора должны быть доведены до сведения другой стороны; 2) внезапное и неоправданное прекращение пере</w:t>
      </w:r>
      <w:r>
        <w:rPr>
          <w:rFonts w:eastAsia="Times New Roman"/>
          <w:color w:val="000000"/>
          <w:sz w:val="28"/>
          <w:szCs w:val="28"/>
        </w:rPr>
        <w:t xml:space="preserve">говоров о заключении договора при таких обстоятельствах, при которых другая сторона переговоров не могла разумно этого ожидать. </w:t>
      </w:r>
    </w:p>
    <w:p w:rsidR="00CB4835" w:rsidRDefault="002B7744">
      <w:pPr>
        <w:pStyle w:val="a3"/>
        <w:spacing w:before="0" w:beforeAutospacing="0" w:after="0" w:afterAutospacing="0" w:line="360" w:lineRule="auto"/>
        <w:ind w:firstLine="709"/>
        <w:jc w:val="both"/>
        <w:rPr>
          <w:color w:val="000000"/>
          <w:sz w:val="28"/>
          <w:szCs w:val="28"/>
        </w:rPr>
      </w:pPr>
      <w:r>
        <w:rPr>
          <w:rFonts w:eastAsia="Times New Roman"/>
          <w:color w:val="000000"/>
          <w:sz w:val="28"/>
          <w:szCs w:val="28"/>
        </w:rPr>
        <w:t>В практике преддоговорной работы встречаются и иные нарушения добросовестности: 1) специальное затягивание переговорного процес</w:t>
      </w:r>
      <w:r>
        <w:rPr>
          <w:rFonts w:eastAsia="Times New Roman"/>
          <w:color w:val="000000"/>
          <w:sz w:val="28"/>
          <w:szCs w:val="28"/>
        </w:rPr>
        <w:t>са; 2) стороной предлагаются и отстаиваются условия сделки, которые заведомо неприемлемы для другой стороны</w:t>
      </w:r>
      <w:r>
        <w:rPr>
          <w:color w:val="000000"/>
          <w:sz w:val="28"/>
          <w:szCs w:val="28"/>
        </w:rPr>
        <w:t xml:space="preserve">, являются неразумными или несоответствующими девствующему законодательству; 3) в переговорах участвует представитель потенциального контрагента, не </w:t>
      </w:r>
      <w:r>
        <w:rPr>
          <w:color w:val="000000"/>
          <w:sz w:val="28"/>
          <w:szCs w:val="28"/>
        </w:rPr>
        <w:t>имеющий полномочий на участие в переговорном процессе; 4) потенциальный контрагент требует исполнения по еще не заключенному договору. К числу нарушений принципа добросовестности применительно к переговорному процессу по заключению договора можно отнести и</w:t>
      </w:r>
      <w:r>
        <w:rPr>
          <w:color w:val="000000"/>
          <w:sz w:val="28"/>
          <w:szCs w:val="28"/>
        </w:rPr>
        <w:t xml:space="preserve"> бездействие одной из сторон, в частности, когда ее представитель не является на переговоры, не отвечает на сообщения, не раскрывают информацию, которая требуется для потенциальной сделки. Ключевой характеристикой всех представленных примеров недобросовест</w:t>
      </w:r>
      <w:r>
        <w:rPr>
          <w:color w:val="000000"/>
          <w:sz w:val="28"/>
          <w:szCs w:val="28"/>
        </w:rPr>
        <w:t xml:space="preserve">ного поведения при ведении переговоров является осознанность вредоносности таких действий и намеренный характер действий, что подрывает ожидания потенциального контрагента.  </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Сторонам, во избежание нарушения принципа добросовестности действий сторон в пере</w:t>
      </w:r>
      <w:r>
        <w:rPr>
          <w:color w:val="000000"/>
          <w:sz w:val="28"/>
          <w:szCs w:val="28"/>
        </w:rPr>
        <w:t xml:space="preserve">говорном процессе, целесообразно </w:t>
      </w:r>
      <w:r>
        <w:rPr>
          <w:rStyle w:val="incut-head-sub"/>
          <w:rFonts w:eastAsia="Times New Roman"/>
          <w:color w:val="000000"/>
          <w:sz w:val="28"/>
          <w:szCs w:val="28"/>
        </w:rPr>
        <w:t xml:space="preserve">фиксировать все его детали, иначе существует риск невозможности доказать недобросовестный характер действий контрагента. Привлечение к преддоговорной ответственности возможно только в том случае, если стороне, пострадавшей </w:t>
      </w:r>
      <w:r>
        <w:rPr>
          <w:rStyle w:val="incut-head-sub"/>
          <w:rFonts w:eastAsia="Times New Roman"/>
          <w:color w:val="000000"/>
          <w:sz w:val="28"/>
          <w:szCs w:val="28"/>
        </w:rPr>
        <w:t>от недобросовестных действий потенциального контрагента, удастся доказать, что</w:t>
      </w:r>
      <w:r>
        <w:rPr>
          <w:color w:val="000000"/>
          <w:sz w:val="28"/>
          <w:szCs w:val="28"/>
        </w:rPr>
        <w:t xml:space="preserve"> имеются достаточные основания для такой ответственности.</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lastRenderedPageBreak/>
        <w:t>Обычно на практике стороны наиболее полным образом отражают все детали переговорного процесса: 1) произошла ли организац</w:t>
      </w:r>
      <w:r>
        <w:rPr>
          <w:color w:val="000000"/>
          <w:sz w:val="28"/>
          <w:szCs w:val="28"/>
        </w:rPr>
        <w:t>ия переговоров; 2) статус этих переговоров; 3) присутствие уполномоченных на ведение переговоров лиц; 4) порядок проведения переговоров (электронная переписка, телефонный разговор, личная встреча) и тд. Каждый из этих аспектов должен быть конкретизирован в</w:t>
      </w:r>
      <w:r>
        <w:rPr>
          <w:color w:val="000000"/>
          <w:sz w:val="28"/>
          <w:szCs w:val="28"/>
        </w:rPr>
        <w:t xml:space="preserve"> протоколе ведения переговоров. </w:t>
      </w:r>
      <w:r>
        <w:rPr>
          <w:rFonts w:eastAsia="Times New Roman"/>
          <w:color w:val="000000"/>
          <w:sz w:val="28"/>
          <w:szCs w:val="28"/>
        </w:rPr>
        <w:t xml:space="preserve">При отказе одной из сторон от фиксации переговорного процесса, такие действия не могут расцениваться как нарушение принципа добросовестности, однако </w:t>
      </w:r>
      <w:r>
        <w:rPr>
          <w:color w:val="000000"/>
          <w:sz w:val="28"/>
          <w:szCs w:val="28"/>
        </w:rPr>
        <w:t>продолжение переговоров, несмотря на такой отказ, может лишить сторону прав</w:t>
      </w:r>
      <w:r>
        <w:rPr>
          <w:color w:val="000000"/>
          <w:sz w:val="28"/>
          <w:szCs w:val="28"/>
        </w:rPr>
        <w:t>а ссылаться на их результаты.</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Ценность протоколов о ведении переговоров состоит в том, что посредством такого инструмента этот процесс организуется и систематизируется, кроме того данный документ имеет доказательственное значение при возникновении споров о</w:t>
      </w:r>
      <w:r>
        <w:rPr>
          <w:color w:val="000000"/>
          <w:sz w:val="28"/>
          <w:szCs w:val="28"/>
        </w:rPr>
        <w:t xml:space="preserve"> нарушении принципа добросовестности. Зачастую оформлением такого документа занимается принимающая сторона. Он составляется в количестве экземпляров по числу участвующих сторон, подписывается стороной, которая вела протокол, и направляется остальным сторон</w:t>
      </w:r>
      <w:r>
        <w:rPr>
          <w:color w:val="000000"/>
          <w:sz w:val="28"/>
          <w:szCs w:val="28"/>
        </w:rPr>
        <w:t>ам.</w:t>
      </w:r>
    </w:p>
    <w:p w:rsidR="00CB4835" w:rsidRDefault="002B7744">
      <w:pPr>
        <w:pStyle w:val="a3"/>
        <w:spacing w:before="0" w:beforeAutospacing="0" w:after="0" w:afterAutospacing="0" w:line="360" w:lineRule="auto"/>
        <w:ind w:firstLine="709"/>
        <w:jc w:val="both"/>
        <w:rPr>
          <w:color w:val="000000"/>
          <w:sz w:val="28"/>
          <w:szCs w:val="28"/>
        </w:rPr>
      </w:pPr>
      <w:r>
        <w:rPr>
          <w:color w:val="000000"/>
          <w:sz w:val="28"/>
          <w:szCs w:val="28"/>
        </w:rPr>
        <w:t>Пятый принцип – запрет на использование полученной в ходе переговоров конфиденциальной информации (п. 4 ст. 434.1 ГК РФ). Речь в данном случае идет о той информации, которая имеет статус конфиденциальной. Данный запрет не обусловлен тем обстоятельством</w:t>
      </w:r>
      <w:r>
        <w:rPr>
          <w:color w:val="000000"/>
          <w:sz w:val="28"/>
          <w:szCs w:val="28"/>
        </w:rPr>
        <w:t xml:space="preserve">, будет ли в итоге заключен договор. При нарушении этого запрета виновная сторона обязана возместить убытки, которые могут возникнуть в результате раскрытия конфиденциальной информации или ее использования для своих целей. Это правило нашло сове отражение </w:t>
      </w:r>
      <w:r>
        <w:rPr>
          <w:color w:val="000000"/>
          <w:sz w:val="28"/>
          <w:szCs w:val="28"/>
        </w:rPr>
        <w:t>в Принципах УНИДРУА (ст. 2.16). Фактически речь идет о распространенном в деловой практике соглашении о конфиденциальности информации.</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Шестой принцип – сторонами может быть заключено соглашение о порядке ведения переговоров, которые весьма популярны в бизн</w:t>
      </w:r>
      <w:r>
        <w:rPr>
          <w:color w:val="000000"/>
          <w:sz w:val="28"/>
          <w:szCs w:val="28"/>
        </w:rPr>
        <w:t>ес-</w:t>
      </w:r>
      <w:r>
        <w:rPr>
          <w:color w:val="000000"/>
          <w:sz w:val="28"/>
          <w:szCs w:val="28"/>
        </w:rPr>
        <w:lastRenderedPageBreak/>
        <w:t xml:space="preserve">сообществе. Данный документ конкретизирует </w:t>
      </w:r>
      <w:r>
        <w:rPr>
          <w:rFonts w:eastAsia="Times New Roman"/>
          <w:color w:val="000000"/>
          <w:sz w:val="28"/>
          <w:szCs w:val="28"/>
        </w:rPr>
        <w:t xml:space="preserve">требования к добросовестному ведению переговоров и определяет порядок распределения расходов, возникающих в связи с проведением переговоров, в нем также находят отражение и иные вопросы. </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rFonts w:eastAsia="Times New Roman"/>
          <w:color w:val="000000"/>
          <w:sz w:val="28"/>
          <w:szCs w:val="28"/>
        </w:rPr>
        <w:t xml:space="preserve">Кроме того, особо </w:t>
      </w:r>
      <w:r>
        <w:rPr>
          <w:rFonts w:eastAsia="Times New Roman"/>
          <w:color w:val="000000"/>
          <w:sz w:val="28"/>
          <w:szCs w:val="28"/>
        </w:rPr>
        <w:t xml:space="preserve">отмечается, что соглашение о порядке ведения переговоров может налагать санкции за нарушение предусмотренных в нем положений. Например, неустойка может быть установлена в случае неявки на переговоры, непредставления каких-либо документов или (что не менее </w:t>
      </w:r>
      <w:r>
        <w:rPr>
          <w:rFonts w:eastAsia="Times New Roman"/>
          <w:color w:val="000000"/>
          <w:sz w:val="28"/>
          <w:szCs w:val="28"/>
        </w:rPr>
        <w:t>важно) разглашения конфиденциальной информации.</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rFonts w:eastAsia="Times New Roman"/>
          <w:color w:val="000000"/>
          <w:sz w:val="28"/>
          <w:szCs w:val="28"/>
        </w:rPr>
        <w:t>На практике такие соглашения, помимо перечисленных выше условий, обычно определяют место и время проведения переговоров. Кроме того, стороны могут предусмотреть в своем соглашении определенные меры безопаснос</w:t>
      </w:r>
      <w:r>
        <w:rPr>
          <w:rFonts w:eastAsia="Times New Roman"/>
          <w:color w:val="000000"/>
          <w:sz w:val="28"/>
          <w:szCs w:val="28"/>
        </w:rPr>
        <w:t>ти (например, независимую гарантию от разглашения конфиденциальной информации или ее использования в личных целях).</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rFonts w:eastAsia="Times New Roman"/>
          <w:color w:val="000000"/>
          <w:sz w:val="28"/>
          <w:szCs w:val="28"/>
        </w:rPr>
        <w:t>В то же время законодатель указал, что стороны не могут включать в соглашение о порядке ведения переговоров условия, которые ограничат ответ</w:t>
      </w:r>
      <w:r>
        <w:rPr>
          <w:rFonts w:eastAsia="Times New Roman"/>
          <w:color w:val="000000"/>
          <w:sz w:val="28"/>
          <w:szCs w:val="28"/>
        </w:rPr>
        <w:t>ственность сторон соглашения за недобросовестные действия. Такие условия являются ничтожными (п. 2, п.5 ст. 434.1 ГК РФ).</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rFonts w:eastAsia="Times New Roman"/>
          <w:color w:val="000000"/>
          <w:sz w:val="28"/>
          <w:szCs w:val="28"/>
        </w:rPr>
        <w:t>Рассматриваемый документ не следует путать с предварительным договором, поскольку последний направлен на заключение договора в будущем</w:t>
      </w:r>
      <w:r>
        <w:rPr>
          <w:rFonts w:eastAsia="Times New Roman"/>
          <w:color w:val="000000"/>
          <w:sz w:val="28"/>
          <w:szCs w:val="28"/>
        </w:rPr>
        <w:t xml:space="preserve"> и дает сторонам право принуждать друг друга к этому (ст. 429 ГК РФ), в первом же случае такое соглашение регулирует отношения на стадии переговоров и предоставляет право требовать добросовестности в действиях сторон при их проведении, но не заключения дог</w:t>
      </w:r>
      <w:r>
        <w:rPr>
          <w:rFonts w:eastAsia="Times New Roman"/>
          <w:color w:val="000000"/>
          <w:sz w:val="28"/>
          <w:szCs w:val="28"/>
        </w:rPr>
        <w:t>овора.</w:t>
      </w: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pStyle w:val="1"/>
        <w:spacing w:before="0" w:line="360" w:lineRule="auto"/>
        <w:jc w:val="center"/>
        <w:rPr>
          <w:rFonts w:ascii="Times New Roman" w:hAnsi="Times New Roman"/>
          <w:color w:val="000000"/>
        </w:rPr>
      </w:pPr>
      <w:bookmarkStart w:id="16" w:name="_Toc70668257"/>
      <w:bookmarkEnd w:id="16"/>
      <w:r>
        <w:rPr>
          <w:rFonts w:ascii="Times New Roman" w:hAnsi="Times New Roman"/>
          <w:color w:val="000000"/>
        </w:rPr>
        <w:t>1.2. Соглашение о порядке ведения переговоров: содержание и специфика</w:t>
      </w:r>
    </w:p>
    <w:p w:rsidR="00CB4835" w:rsidRDefault="00CB4835">
      <w:pPr>
        <w:spacing w:after="0" w:line="360" w:lineRule="auto"/>
        <w:ind w:firstLine="709"/>
        <w:jc w:val="both"/>
        <w:outlineLvl w:val="0"/>
        <w:rPr>
          <w:rFonts w:ascii="Times New Roman" w:hAnsi="Times New Roman"/>
          <w:color w:val="000000"/>
          <w:sz w:val="28"/>
          <w:szCs w:val="28"/>
        </w:rPr>
      </w:pP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соглашении о ведении переговоров должны найти отражение следующие моменты: 1) зафиксированы понесенные расходы и </w:t>
      </w:r>
      <w:r>
        <w:rPr>
          <w:rFonts w:ascii="Times New Roman" w:hAnsi="Times New Roman"/>
          <w:color w:val="000000"/>
          <w:sz w:val="28"/>
          <w:szCs w:val="28"/>
        </w:rPr>
        <w:lastRenderedPageBreak/>
        <w:t xml:space="preserve">потенциальные убытки; 2) установлен запрет для контрагента </w:t>
      </w:r>
      <w:r>
        <w:rPr>
          <w:rFonts w:ascii="Times New Roman" w:hAnsi="Times New Roman"/>
          <w:color w:val="000000"/>
          <w:sz w:val="28"/>
          <w:szCs w:val="28"/>
        </w:rPr>
        <w:t>заключать аналогичные сделки; 3) распределение расходов на переговоры; 4) установлены сроки переговоров.</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основных положениях такого соглашения нужно отразить пункты, которые защитят сторону от недобросовестного участника переговоров. Например, следующие </w:t>
      </w:r>
      <w:r>
        <w:rPr>
          <w:rFonts w:ascii="Times New Roman" w:hAnsi="Times New Roman"/>
          <w:color w:val="000000"/>
          <w:sz w:val="28"/>
          <w:szCs w:val="28"/>
        </w:rPr>
        <w:t xml:space="preserve">положения.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Защита от неполной, недостоверной информации или от умолчания об обстоятельствах (подп. 1 п. 2 ст. 434.1 ГК РФ). Недобросовестный контрагент может намеренно предоставить недостоверную информацию. И даже на стадии проработки проекта договора </w:t>
      </w:r>
      <w:r>
        <w:rPr>
          <w:rFonts w:ascii="Times New Roman" w:hAnsi="Times New Roman"/>
          <w:color w:val="000000"/>
          <w:sz w:val="28"/>
          <w:szCs w:val="28"/>
        </w:rPr>
        <w:t xml:space="preserve">это повлечет значительные расходы в бюджете компании, которые в итоге не оправдаются. В статье 434.1 ГК РФ установлена только общая мера ответственности, когда пострадавшей стороне выплачивают убытки. Поэтому в соглашении целесообразно предусмотреть такие </w:t>
      </w:r>
      <w:r>
        <w:rPr>
          <w:rFonts w:ascii="Times New Roman" w:hAnsi="Times New Roman"/>
          <w:color w:val="000000"/>
          <w:sz w:val="28"/>
          <w:szCs w:val="28"/>
        </w:rPr>
        <w:t>меры ответственности, которые подходят деятельности организации и репутации контрагента. Например, дополнительные штрафные санкции или право пострадавшей стороны в одностороннем порядке расторгнуть соглашение и прекратить переговоры.</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Защита от внезапног</w:t>
      </w:r>
      <w:r>
        <w:rPr>
          <w:rFonts w:ascii="Times New Roman" w:hAnsi="Times New Roman"/>
          <w:color w:val="000000"/>
          <w:sz w:val="28"/>
          <w:szCs w:val="28"/>
        </w:rPr>
        <w:t xml:space="preserve">о и неоправданного прекращения переговоров (подп. 2 п.1 ст. 434.1 ГК РФ). Недобросовестный участник, как уже отмечалось, может вступить в переговоры, чтобы получить информацию о проекте или отвлечь сторону от потенциальных контрагентов, которые готовы его </w:t>
      </w:r>
      <w:r>
        <w:rPr>
          <w:rFonts w:ascii="Times New Roman" w:hAnsi="Times New Roman"/>
          <w:color w:val="000000"/>
          <w:sz w:val="28"/>
          <w:szCs w:val="28"/>
        </w:rPr>
        <w:t>реализовать. На практике имеют место ситуации, когда компания вступает в переговоры, а потом внезапно прекращает их без каких-либо аргументов. При этом добросовестный участник уже понес расходы на переговоры, получение или проверку информации по проекту, а</w:t>
      </w:r>
      <w:r>
        <w:rPr>
          <w:rFonts w:ascii="Times New Roman" w:hAnsi="Times New Roman"/>
          <w:color w:val="000000"/>
          <w:sz w:val="28"/>
          <w:szCs w:val="28"/>
        </w:rPr>
        <w:t xml:space="preserve"> также убытки из-за утраты возможности заключить договор с третьим лицом. Чтобы снизить риск возникновения таких ситуаций в соглашение целесообразно включить дополнительные меры ответственности за срыв переговоров. Меры должны повлечь такие финансовые или </w:t>
      </w:r>
      <w:r>
        <w:rPr>
          <w:rFonts w:ascii="Times New Roman" w:hAnsi="Times New Roman"/>
          <w:color w:val="000000"/>
          <w:sz w:val="28"/>
          <w:szCs w:val="28"/>
        </w:rPr>
        <w:t xml:space="preserve">репутационные потери для контрагента, чтобы ему было не выгодно вести себя недобросовестно. В качестве примера можно </w:t>
      </w:r>
      <w:r>
        <w:rPr>
          <w:rFonts w:ascii="Times New Roman" w:hAnsi="Times New Roman"/>
          <w:color w:val="000000"/>
          <w:sz w:val="28"/>
          <w:szCs w:val="28"/>
        </w:rPr>
        <w:lastRenderedPageBreak/>
        <w:t xml:space="preserve">привести судебное дело. Стороны обсуждали будущий договор аренды склада. Когда дело дошло до согласования окончательной редакции, компания </w:t>
      </w:r>
      <w:r>
        <w:rPr>
          <w:rFonts w:ascii="Times New Roman" w:hAnsi="Times New Roman"/>
          <w:color w:val="000000"/>
          <w:sz w:val="28"/>
          <w:szCs w:val="28"/>
        </w:rPr>
        <w:t>прервала переговоры. Потенциальный арендодатель обратился в суд и взыскал с другой стороны убытки в размере 15 млн. руб.</w:t>
      </w:r>
      <w:r>
        <w:rPr>
          <w:rStyle w:val="a8"/>
          <w:rFonts w:ascii="Times New Roman" w:hAnsi="Times New Roman"/>
          <w:color w:val="000000"/>
          <w:sz w:val="28"/>
          <w:szCs w:val="28"/>
        </w:rPr>
        <w:footnoteReference w:id="6"/>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Эксклюзивность и защита информации. Недобросовестная сторона может раскрыть информацию третьему лицу или использовать сведения, что</w:t>
      </w:r>
      <w:r>
        <w:rPr>
          <w:rFonts w:ascii="Times New Roman" w:hAnsi="Times New Roman"/>
          <w:color w:val="000000"/>
          <w:sz w:val="28"/>
          <w:szCs w:val="28"/>
        </w:rPr>
        <w:t>бы самостоятельно или через третьих лиц проработать проект. При этом информация может быть разнообразной – базы поставщиков, сведения о лицах, которые могут помочь заключить договор, инсайдерская информация об условиях конкурса. Для потерпевшей стороны это</w:t>
      </w:r>
      <w:r>
        <w:rPr>
          <w:rFonts w:ascii="Times New Roman" w:hAnsi="Times New Roman"/>
          <w:color w:val="000000"/>
          <w:sz w:val="28"/>
          <w:szCs w:val="28"/>
        </w:rPr>
        <w:t xml:space="preserve"> означает возникновение убытков. Чтобы избежать таких ситуаций в соглашение целесообразно включить условие о конфиденциальности информации и ответственности сторон за ее разглашение. В данном соглашении должен быть установлен запрет для сторон использовать</w:t>
      </w:r>
      <w:r>
        <w:rPr>
          <w:rFonts w:ascii="Times New Roman" w:hAnsi="Times New Roman"/>
          <w:color w:val="000000"/>
          <w:sz w:val="28"/>
          <w:szCs w:val="28"/>
        </w:rPr>
        <w:t xml:space="preserve"> полученную информацию, чтобы реализовать проект самостоятельно или с другими контрагентами.</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Кроме того в рассматриваемое соглашение могут быть включены дополнительные положения, которые не получили законодательного закрепление в ГК РФ. В пункте 4 ст. 434.</w:t>
      </w:r>
      <w:r>
        <w:rPr>
          <w:rFonts w:ascii="Times New Roman" w:hAnsi="Times New Roman"/>
          <w:color w:val="000000"/>
          <w:sz w:val="28"/>
          <w:szCs w:val="28"/>
        </w:rPr>
        <w:t xml:space="preserve">1 ГК РФ есть лишь указание, что стороны могут определить в соглашении, как распределить расходы между собой, и «иные подобные права и обязанности». В этой связи целесообразно закрепить следующие условия.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Срок переговоров и обязательные действия сторон.</w:t>
      </w:r>
      <w:r>
        <w:rPr>
          <w:rFonts w:ascii="Times New Roman" w:hAnsi="Times New Roman"/>
          <w:color w:val="000000"/>
          <w:sz w:val="28"/>
          <w:szCs w:val="28"/>
        </w:rPr>
        <w:t xml:space="preserve"> Такое условие поможет ограничить длительность переговоров и устранить риски затягивания переговорного процесса. Кроме того, стороны заранее определяют действия или документы, которые должны совершить или предоставить.</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Место проведения переговоров. Поло</w:t>
      </w:r>
      <w:r>
        <w:rPr>
          <w:rFonts w:ascii="Times New Roman" w:hAnsi="Times New Roman"/>
          <w:color w:val="000000"/>
          <w:sz w:val="28"/>
          <w:szCs w:val="28"/>
        </w:rPr>
        <w:t>жение исключит споры сторон по этому вопросу и возможные организационные проблемы, например отсутствие необходимого технического оснащения.</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 Распределение расходов. Законодатель не урегулировал этот вопрос, но обычно стороны стремятся равномерно распреде</w:t>
      </w:r>
      <w:r>
        <w:rPr>
          <w:rFonts w:ascii="Times New Roman" w:hAnsi="Times New Roman"/>
          <w:color w:val="000000"/>
          <w:sz w:val="28"/>
          <w:szCs w:val="28"/>
        </w:rPr>
        <w:t>лить совместные расходы, например стоимость аренды зала для переговоров, и обособиться от расходов, которые несет другая сторона.</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Право расторгнуть соглашение и прекратить переговоры с контрагентом. Стоит перечислить случаи, когда сторона может расторгн</w:t>
      </w:r>
      <w:r>
        <w:rPr>
          <w:rFonts w:ascii="Times New Roman" w:hAnsi="Times New Roman"/>
          <w:color w:val="000000"/>
          <w:sz w:val="28"/>
          <w:szCs w:val="28"/>
        </w:rPr>
        <w:t>уть соглашение и прекратить переговоры, и к ней не будут применяться меры ответственности, которые закреплены в соглашении и статье 434.1 ГК РФ. Перечень таких оснований зависит от сферы деятельности сторон. Обычно к подобным основаниям относят случаи, ког</w:t>
      </w:r>
      <w:r>
        <w:rPr>
          <w:rFonts w:ascii="Times New Roman" w:hAnsi="Times New Roman"/>
          <w:color w:val="000000"/>
          <w:sz w:val="28"/>
          <w:szCs w:val="28"/>
        </w:rPr>
        <w:t xml:space="preserve">да сторона грубо не соблюдала установленные сроки проведения переговоров, необоснованно отказалась от обсуждения спорных вопросов, отказалась предоставить существенную информацию по проекту, раскрыла конфиденциальную информацию.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Ответственность сторон.</w:t>
      </w:r>
      <w:r>
        <w:rPr>
          <w:rFonts w:ascii="Times New Roman" w:hAnsi="Times New Roman"/>
          <w:color w:val="000000"/>
          <w:sz w:val="28"/>
          <w:szCs w:val="28"/>
        </w:rPr>
        <w:t xml:space="preserve"> Чаще всего стороны распределяют положения об ответственности по конкретным условиям соглашения. Поэтому включать в соглашение отдельный раздел об ответственности необязательно. Можно комбинировать эти подходы – установить общую ответственность за нарушени</w:t>
      </w:r>
      <w:r>
        <w:rPr>
          <w:rFonts w:ascii="Times New Roman" w:hAnsi="Times New Roman"/>
          <w:color w:val="000000"/>
          <w:sz w:val="28"/>
          <w:szCs w:val="28"/>
        </w:rPr>
        <w:t>е договора и самостоятельные меры за несоблюдение конкретных условий. Например, специальную ответственность за разглашение конфиденциальной информации.</w:t>
      </w:r>
    </w:p>
    <w:p w:rsidR="00CB4835" w:rsidRDefault="002B7744">
      <w:pPr>
        <w:pStyle w:val="a3"/>
        <w:spacing w:before="0" w:beforeAutospacing="0" w:after="0" w:afterAutospacing="0" w:line="360" w:lineRule="auto"/>
        <w:ind w:firstLine="709"/>
        <w:jc w:val="both"/>
        <w:rPr>
          <w:color w:val="000000"/>
          <w:sz w:val="28"/>
          <w:szCs w:val="28"/>
        </w:rPr>
      </w:pPr>
      <w:r>
        <w:rPr>
          <w:rStyle w:val="12"/>
          <w:color w:val="000000"/>
          <w:sz w:val="28"/>
          <w:szCs w:val="28"/>
          <w:shd w:val="clear" w:color="auto" w:fill="FFFFFF"/>
        </w:rPr>
        <w:t>В отношении формы изучаемого соглашения следует отметить, что его оформление целесообразно в виде единог</w:t>
      </w:r>
      <w:r>
        <w:rPr>
          <w:rStyle w:val="12"/>
          <w:color w:val="000000"/>
          <w:sz w:val="28"/>
          <w:szCs w:val="28"/>
          <w:shd w:val="clear" w:color="auto" w:fill="FFFFFF"/>
        </w:rPr>
        <w:t>о документа. Это основательно снижает риск разногласий. Стороны в определенной форме указывают, какие обязательства возлагают на себя в ходе преддоговорного процесса.</w:t>
      </w:r>
    </w:p>
    <w:p w:rsidR="00CB4835" w:rsidRDefault="002B7744">
      <w:pPr>
        <w:spacing w:after="0" w:line="360" w:lineRule="auto"/>
        <w:ind w:firstLine="709"/>
        <w:jc w:val="both"/>
        <w:rPr>
          <w:rFonts w:ascii="Times New Roman" w:hAnsi="Times New Roman"/>
          <w:color w:val="000000"/>
          <w:sz w:val="28"/>
          <w:szCs w:val="28"/>
          <w:shd w:val="clear" w:color="auto" w:fill="FFFFFF"/>
        </w:rPr>
      </w:pPr>
      <w:r>
        <w:rPr>
          <w:rStyle w:val="12"/>
          <w:rFonts w:ascii="Times New Roman" w:hAnsi="Times New Roman"/>
          <w:color w:val="000000"/>
          <w:sz w:val="28"/>
          <w:szCs w:val="28"/>
          <w:shd w:val="clear" w:color="auto" w:fill="FFFFFF"/>
        </w:rPr>
        <w:t>Следует отметить, что такая форма - не единственно возможная (если в законе отсутствуют т</w:t>
      </w:r>
      <w:r>
        <w:rPr>
          <w:rStyle w:val="12"/>
          <w:rFonts w:ascii="Times New Roman" w:hAnsi="Times New Roman"/>
          <w:color w:val="000000"/>
          <w:sz w:val="28"/>
          <w:szCs w:val="28"/>
          <w:shd w:val="clear" w:color="auto" w:fill="FFFFFF"/>
        </w:rPr>
        <w:t>ребования по ее соблюдению, либо это требование не исходит из сути сделки) Соглашения, заключаемые сторонами в письменной форме, не обязательно должны быть оформлены единым документом. Важным является согласование ключевых условий сторонами и их явно выраж</w:t>
      </w:r>
      <w:r>
        <w:rPr>
          <w:rStyle w:val="12"/>
          <w:rFonts w:ascii="Times New Roman" w:hAnsi="Times New Roman"/>
          <w:color w:val="000000"/>
          <w:sz w:val="28"/>
          <w:szCs w:val="28"/>
          <w:shd w:val="clear" w:color="auto" w:fill="FFFFFF"/>
        </w:rPr>
        <w:t xml:space="preserve">енная воля возложить на себя данные обязательства (ст. 434 ГК РФ). </w:t>
      </w:r>
      <w:r>
        <w:rPr>
          <w:rStyle w:val="12"/>
          <w:rFonts w:ascii="Times New Roman" w:hAnsi="Times New Roman"/>
          <w:color w:val="000000"/>
          <w:sz w:val="28"/>
          <w:szCs w:val="28"/>
          <w:shd w:val="clear" w:color="auto" w:fill="FFFFFF"/>
        </w:rPr>
        <w:lastRenderedPageBreak/>
        <w:t xml:space="preserve">Если принятие предложения оферента состоялось, то соглашение считается заключенным (п. 3 ст. 438 ГК РФ). Данные правила законодатель установил  также относительно соглашений о переговорах. </w:t>
      </w:r>
      <w:r>
        <w:rPr>
          <w:rStyle w:val="12"/>
          <w:rFonts w:ascii="Times New Roman" w:hAnsi="Times New Roman"/>
          <w:color w:val="000000"/>
          <w:sz w:val="28"/>
          <w:szCs w:val="28"/>
          <w:shd w:val="clear" w:color="auto" w:fill="FFFFFF"/>
        </w:rPr>
        <w:t xml:space="preserve">Так, высшая судебная инстанция признала подачу заявки на конкурс одним из альтернативных вариантов заключения подобного соглашения. С позиции высшей судебной инстанции, если компания подает такую заявку, то это свидетельствует:  </w:t>
      </w:r>
      <w:r>
        <w:rPr>
          <w:rFonts w:ascii="Times New Roman" w:hAnsi="Times New Roman"/>
          <w:color w:val="000000"/>
          <w:sz w:val="28"/>
          <w:szCs w:val="28"/>
          <w:shd w:val="clear" w:color="auto" w:fill="FFFFFF"/>
        </w:rPr>
        <w:t>1) о принятии компанией усл</w:t>
      </w:r>
      <w:r>
        <w:rPr>
          <w:rFonts w:ascii="Times New Roman" w:hAnsi="Times New Roman"/>
          <w:color w:val="000000"/>
          <w:sz w:val="28"/>
          <w:szCs w:val="28"/>
          <w:shd w:val="clear" w:color="auto" w:fill="FFFFFF"/>
        </w:rPr>
        <w:t>овий проведения конкурса, которые выдвинул организатор закупок (в деле идет речь о закупках по ФЗ-223); 2) о заключении организатором и претендентом соглашения, которое можно квалифицировать как соглашение о ведении переговоров; 3) о том, что правовые посл</w:t>
      </w:r>
      <w:r>
        <w:rPr>
          <w:rFonts w:ascii="Times New Roman" w:hAnsi="Times New Roman"/>
          <w:color w:val="000000"/>
          <w:sz w:val="28"/>
          <w:szCs w:val="28"/>
          <w:shd w:val="clear" w:color="auto" w:fill="FFFFFF"/>
        </w:rPr>
        <w:t>едствия такого заключения соответствуют указанным в статье 434.1 ГК РФ. В частности, на стороны распространяются меры ответственности за нарушение, которые установили в соглашении</w:t>
      </w:r>
      <w:r>
        <w:rPr>
          <w:rStyle w:val="a8"/>
          <w:rFonts w:ascii="Times New Roman" w:hAnsi="Times New Roman"/>
          <w:color w:val="000000"/>
          <w:sz w:val="28"/>
          <w:szCs w:val="28"/>
          <w:shd w:val="clear" w:color="auto" w:fill="FFFFFF"/>
        </w:rPr>
        <w:footnoteReference w:id="7"/>
      </w:r>
      <w:r>
        <w:rPr>
          <w:rFonts w:ascii="Times New Roman" w:hAnsi="Times New Roman"/>
          <w:color w:val="000000"/>
          <w:sz w:val="28"/>
          <w:szCs w:val="28"/>
          <w:shd w:val="clear" w:color="auto" w:fill="FFFFFF"/>
        </w:rPr>
        <w:t xml:space="preserve">. </w:t>
      </w:r>
    </w:p>
    <w:p w:rsidR="00CB4835" w:rsidRDefault="002B7744">
      <w:pPr>
        <w:pStyle w:val="a3"/>
        <w:spacing w:before="0" w:beforeAutospacing="0" w:after="0" w:afterAutospacing="0" w:line="360" w:lineRule="auto"/>
        <w:ind w:firstLine="709"/>
        <w:jc w:val="both"/>
        <w:rPr>
          <w:color w:val="000000"/>
          <w:sz w:val="28"/>
          <w:szCs w:val="28"/>
        </w:rPr>
      </w:pPr>
      <w:r>
        <w:rPr>
          <w:rStyle w:val="12"/>
          <w:color w:val="000000"/>
          <w:sz w:val="28"/>
          <w:szCs w:val="28"/>
          <w:shd w:val="clear" w:color="auto" w:fill="FFFFFF"/>
        </w:rPr>
        <w:t xml:space="preserve">Тем самым, соглашение о проведении переговоров включает: 1) регламент </w:t>
      </w:r>
      <w:r>
        <w:rPr>
          <w:rStyle w:val="12"/>
          <w:color w:val="000000"/>
          <w:sz w:val="28"/>
          <w:szCs w:val="28"/>
          <w:shd w:val="clear" w:color="auto" w:fill="FFFFFF"/>
        </w:rPr>
        <w:t>переговорного процесса. К примеру, определение порядка встреч, назначение даты и времени, выбор места и.т.д.; 2) определение правил для соблюдения обеими сторонами будущей сделки; 3) конкретизацию требований к поведению сторон и определение добросовестного</w:t>
      </w:r>
      <w:r>
        <w:rPr>
          <w:rStyle w:val="12"/>
          <w:color w:val="000000"/>
          <w:sz w:val="28"/>
          <w:szCs w:val="28"/>
          <w:shd w:val="clear" w:color="auto" w:fill="FFFFFF"/>
        </w:rPr>
        <w:t xml:space="preserve"> и недобросовестного поведения; 4) распределение расходов на переговорный процесс; 5) закрепление мер ответственности за нарушение этих правил, а также назначение неустойки. Таким образом, одну из сторон можно обязать выплатить неустойку за неявку на встре</w:t>
      </w:r>
      <w:r>
        <w:rPr>
          <w:rStyle w:val="12"/>
          <w:color w:val="000000"/>
          <w:sz w:val="28"/>
          <w:szCs w:val="28"/>
          <w:shd w:val="clear" w:color="auto" w:fill="FFFFFF"/>
        </w:rPr>
        <w:t xml:space="preserve">чу, затягивание процесса пересылки документов и.т.д. Также неустойку могут взимать за нарушение конфиденциальности; 6) введение мер обеспечения – к примеру, требование предоставления независимой гарантии в случае разглашения </w:t>
      </w:r>
      <w:r>
        <w:rPr>
          <w:color w:val="000000"/>
          <w:sz w:val="28"/>
          <w:szCs w:val="28"/>
          <w:shd w:val="clear" w:color="auto" w:fill="FFFFFF"/>
        </w:rPr>
        <w:t>конфиденциальных сведений или и</w:t>
      </w:r>
      <w:r>
        <w:rPr>
          <w:color w:val="000000"/>
          <w:sz w:val="28"/>
          <w:szCs w:val="28"/>
          <w:shd w:val="clear" w:color="auto" w:fill="FFFFFF"/>
        </w:rPr>
        <w:t xml:space="preserve">спользования их контрагентом-принципалом в своих целях. Законом, однако, запрещено включать в соглашение о ведении переговорного процесса положений, ограничивающих </w:t>
      </w:r>
      <w:r>
        <w:rPr>
          <w:color w:val="000000"/>
          <w:sz w:val="28"/>
          <w:szCs w:val="28"/>
          <w:shd w:val="clear" w:color="auto" w:fill="FFFFFF"/>
        </w:rPr>
        <w:lastRenderedPageBreak/>
        <w:t>ответственность за недобросовестность. Такие условия не будут иметь юридической силы, так ка</w:t>
      </w:r>
      <w:r>
        <w:rPr>
          <w:color w:val="000000"/>
          <w:sz w:val="28"/>
          <w:szCs w:val="28"/>
          <w:shd w:val="clear" w:color="auto" w:fill="FFFFFF"/>
        </w:rPr>
        <w:t>к противоречат закону (абз. 2 п. 5 ст. 434.1 ГК РФ).</w:t>
      </w:r>
    </w:p>
    <w:p w:rsidR="00CB4835" w:rsidRDefault="00CB4835">
      <w:pPr>
        <w:spacing w:after="0" w:line="360" w:lineRule="auto"/>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shd w:val="clear" w:color="auto" w:fill="FFFFFF"/>
        </w:rPr>
      </w:pPr>
    </w:p>
    <w:p w:rsidR="00CB4835" w:rsidRDefault="00CB4835">
      <w:pPr>
        <w:spacing w:after="0" w:line="360" w:lineRule="auto"/>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pStyle w:val="a3"/>
        <w:spacing w:before="0" w:beforeAutospacing="0" w:after="0" w:afterAutospacing="0" w:line="360" w:lineRule="auto"/>
        <w:ind w:firstLine="709"/>
        <w:jc w:val="both"/>
        <w:rPr>
          <w:color w:val="000000"/>
          <w:sz w:val="28"/>
          <w:szCs w:val="28"/>
        </w:rPr>
      </w:pPr>
      <w:r>
        <w:br w:type="page"/>
      </w:r>
    </w:p>
    <w:p w:rsidR="00CB4835" w:rsidRDefault="002B7744">
      <w:pPr>
        <w:pStyle w:val="1"/>
        <w:spacing w:before="0" w:line="360" w:lineRule="auto"/>
        <w:jc w:val="center"/>
        <w:rPr>
          <w:rFonts w:ascii="Times New Roman" w:hAnsi="Times New Roman"/>
          <w:color w:val="000000"/>
        </w:rPr>
      </w:pPr>
      <w:bookmarkStart w:id="17" w:name="_Toc70668258"/>
      <w:bookmarkEnd w:id="17"/>
      <w:r>
        <w:rPr>
          <w:rFonts w:ascii="Times New Roman" w:hAnsi="Times New Roman"/>
          <w:color w:val="000000"/>
        </w:rPr>
        <w:lastRenderedPageBreak/>
        <w:t>ГЛАВА 2. ПРЕДДОГОВОРНАЯ ОТВЕТСТВЕННОСТЬ ПРИ ЗАКЛЮЧЕНИИ ДОГОВОРА</w:t>
      </w:r>
    </w:p>
    <w:p w:rsidR="00CB4835" w:rsidRDefault="00CB4835">
      <w:pPr>
        <w:pStyle w:val="1"/>
        <w:spacing w:before="0" w:line="360" w:lineRule="auto"/>
        <w:jc w:val="center"/>
        <w:rPr>
          <w:rFonts w:ascii="Times New Roman" w:hAnsi="Times New Roman"/>
          <w:color w:val="000000"/>
        </w:rPr>
      </w:pPr>
    </w:p>
    <w:p w:rsidR="00CB4835" w:rsidRDefault="002B7744">
      <w:pPr>
        <w:pStyle w:val="1"/>
        <w:spacing w:before="0" w:line="360" w:lineRule="auto"/>
        <w:jc w:val="center"/>
        <w:rPr>
          <w:rFonts w:ascii="Times New Roman" w:hAnsi="Times New Roman"/>
          <w:color w:val="000000"/>
        </w:rPr>
      </w:pPr>
      <w:bookmarkStart w:id="18" w:name="_Toc70668259"/>
      <w:bookmarkEnd w:id="18"/>
      <w:r>
        <w:rPr>
          <w:rFonts w:ascii="Times New Roman" w:hAnsi="Times New Roman"/>
          <w:color w:val="000000"/>
        </w:rPr>
        <w:t>2.1. Основания преддоговорной ответственности</w:t>
      </w: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Как уже отмечалось в предыдущем разделе исследования, стороны, которые вступают в </w:t>
      </w:r>
      <w:r>
        <w:rPr>
          <w:rFonts w:ascii="Times New Roman" w:hAnsi="Times New Roman"/>
          <w:color w:val="000000"/>
          <w:sz w:val="28"/>
          <w:szCs w:val="28"/>
        </w:rPr>
        <w:t xml:space="preserve">переговоры, обязаны действовать добросовестно. Закон устанавливает три условия проведения переговоров о заключении договора (п. 1 ст. 434. 1 ГК РФ). В частности, стороны: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проводят переговоры свободно. Любой участник гражданского оборота вправе вступить </w:t>
      </w:r>
      <w:r>
        <w:rPr>
          <w:rFonts w:ascii="Times New Roman" w:hAnsi="Times New Roman"/>
          <w:color w:val="000000"/>
          <w:sz w:val="28"/>
          <w:szCs w:val="28"/>
        </w:rPr>
        <w:t>в переговоры, а также выйти из переговорного процесса, если придет к выводу о том, что соглашение не может быть достигнуто</w:t>
      </w:r>
      <w:r>
        <w:rPr>
          <w:rStyle w:val="a8"/>
          <w:rFonts w:ascii="Times New Roman" w:hAnsi="Times New Roman"/>
          <w:color w:val="000000"/>
          <w:sz w:val="28"/>
          <w:szCs w:val="28"/>
        </w:rPr>
        <w:footnoteReference w:id="8"/>
      </w:r>
      <w:r>
        <w:rPr>
          <w:rFonts w:ascii="Times New Roman" w:hAnsi="Times New Roman"/>
          <w:color w:val="000000"/>
          <w:sz w:val="28"/>
          <w:szCs w:val="28"/>
        </w:rPr>
        <w:t>;</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несут расходы самостоятельно. Расходы по ведению переговоров возникают из-за интереса сторон к заключению договора;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не отвечаю</w:t>
      </w:r>
      <w:r>
        <w:rPr>
          <w:rFonts w:ascii="Times New Roman" w:hAnsi="Times New Roman"/>
          <w:color w:val="000000"/>
          <w:sz w:val="28"/>
          <w:szCs w:val="28"/>
        </w:rPr>
        <w:t>т за то, что соглашение не достигнуто. Переговоры — это сложный процесс, который не всегда приносит результат. Требуется согласовать все существенные условия, при этом у каждой стороны есть определенные ресурсы и границы, в рамках которых она может получит</w:t>
      </w:r>
      <w:r>
        <w:rPr>
          <w:rFonts w:ascii="Times New Roman" w:hAnsi="Times New Roman"/>
          <w:color w:val="000000"/>
          <w:sz w:val="28"/>
          <w:szCs w:val="28"/>
        </w:rPr>
        <w:t>ь выгоду. И если компания решает, что выгоды не будет, она вправе отказаться от переговоров.</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Ответственность за недобросовестное ведение переговоров возникает, если сторона ведет себя недобросовестно, нарушает соглашение о порядке ведения переговоров или п</w:t>
      </w:r>
      <w:r>
        <w:rPr>
          <w:rFonts w:ascii="Times New Roman" w:hAnsi="Times New Roman"/>
          <w:color w:val="000000"/>
          <w:sz w:val="28"/>
          <w:szCs w:val="28"/>
        </w:rPr>
        <w:t xml:space="preserve">ричиняет вред по правилам главы 59 ГК РФ. Так, недобросовестность стороны предполагается, если она: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не хотела достичь согласия по существенным условиям или заключить договор. Компания может иметь любой другой интерес, который стремится реализовать. Напр</w:t>
      </w:r>
      <w:r>
        <w:rPr>
          <w:rFonts w:ascii="Times New Roman" w:hAnsi="Times New Roman"/>
          <w:color w:val="000000"/>
          <w:sz w:val="28"/>
          <w:szCs w:val="28"/>
        </w:rPr>
        <w:t xml:space="preserve">имер, помешать контрагенту заключить договор с третьим лицом, узнать закрытую информацию, найти решение проблемы или получить </w:t>
      </w:r>
      <w:r>
        <w:rPr>
          <w:rFonts w:ascii="Times New Roman" w:hAnsi="Times New Roman"/>
          <w:color w:val="000000"/>
          <w:sz w:val="28"/>
          <w:szCs w:val="28"/>
        </w:rPr>
        <w:lastRenderedPageBreak/>
        <w:t>консультацию по вопросам, которые входят в компетенцию потенциального партнера. Эти цели сложно доказуемы, но можно указать суду н</w:t>
      </w:r>
      <w:r>
        <w:rPr>
          <w:rFonts w:ascii="Times New Roman" w:hAnsi="Times New Roman"/>
          <w:color w:val="000000"/>
          <w:sz w:val="28"/>
          <w:szCs w:val="28"/>
        </w:rPr>
        <w:t>а поведение оппонента после того, как добросовестная сторона выполнила свои обязательства в ходе переговоров. К примеру, суд пришел к выводу, что о том, что организация изначально не планировала заключать договор, говорит ее отказ вести переговоры после по</w:t>
      </w:r>
      <w:r>
        <w:rPr>
          <w:rFonts w:ascii="Times New Roman" w:hAnsi="Times New Roman"/>
          <w:color w:val="000000"/>
          <w:sz w:val="28"/>
          <w:szCs w:val="28"/>
        </w:rPr>
        <w:t>лучения определенной информации или документов</w:t>
      </w:r>
      <w:r>
        <w:rPr>
          <w:rStyle w:val="a8"/>
          <w:rFonts w:ascii="Times New Roman" w:hAnsi="Times New Roman"/>
          <w:color w:val="000000"/>
          <w:sz w:val="28"/>
          <w:szCs w:val="28"/>
        </w:rPr>
        <w:footnoteReference w:id="9"/>
      </w:r>
      <w:r>
        <w:rPr>
          <w:rFonts w:ascii="Times New Roman" w:hAnsi="Times New Roman"/>
          <w:color w:val="000000"/>
          <w:sz w:val="28"/>
          <w:szCs w:val="28"/>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предоставила неполную или недостоверную информацию, в том числе умолчала об обстоятельствах, которые в силу характера договора должны быть доведены до сведения другой стороны. Такими умышленными </w:t>
      </w:r>
      <w:r>
        <w:rPr>
          <w:rFonts w:ascii="Times New Roman" w:hAnsi="Times New Roman"/>
          <w:color w:val="000000"/>
          <w:sz w:val="28"/>
          <w:szCs w:val="28"/>
        </w:rPr>
        <w:t>действиями скрывают информацию, которая может повлиять на заключение договора. Если добросовестная сторона выявила такие сведения, это может стать для нее основанием прекратить переговорный процесс и взыскать убытки с контрагента. Если о сокрытии важной ин</w:t>
      </w:r>
      <w:r>
        <w:rPr>
          <w:rFonts w:ascii="Times New Roman" w:hAnsi="Times New Roman"/>
          <w:color w:val="000000"/>
          <w:sz w:val="28"/>
          <w:szCs w:val="28"/>
        </w:rPr>
        <w:t xml:space="preserve">формации стало известно уже после заключения договора, то его можно признать недействительным по правилам части 2 статьи 179 и части 2 статьи 178 ГК РФ;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 внезапно и неоправданно прекратила переговоры при обстоятельствах, при которых другая сторона не мог</w:t>
      </w:r>
      <w:r>
        <w:rPr>
          <w:rFonts w:ascii="Times New Roman" w:hAnsi="Times New Roman"/>
          <w:color w:val="000000"/>
          <w:sz w:val="28"/>
          <w:szCs w:val="28"/>
        </w:rPr>
        <w:t>ла разумно этого ожидать. Любая сторона вправе свободно выйти из переговоров, если исчерпала все возможности согласовать условия договора или пришла к выводу, что договор будет для нее невыгоден. Свобода выхода из переговоров ограничена разумными ожиданиям</w:t>
      </w:r>
      <w:r>
        <w:rPr>
          <w:rFonts w:ascii="Times New Roman" w:hAnsi="Times New Roman"/>
          <w:color w:val="000000"/>
          <w:sz w:val="28"/>
          <w:szCs w:val="28"/>
        </w:rPr>
        <w:t xml:space="preserve">и другой стороны. Добросовестный партнер предполагает, что контрагенту не свойственно внезапно прекращать переговоры в условиях, когда он имеет экономический интерес заключить договор.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Лицо, которое заявляет о недобросовестности оппонента, должно доказать</w:t>
      </w:r>
      <w:r>
        <w:rPr>
          <w:rFonts w:ascii="Times New Roman" w:hAnsi="Times New Roman"/>
          <w:color w:val="000000"/>
          <w:sz w:val="28"/>
          <w:szCs w:val="28"/>
        </w:rPr>
        <w:t xml:space="preserve"> это в суде. Например, представить переписку, которая подтверждает его позицию</w:t>
      </w:r>
      <w:r>
        <w:rPr>
          <w:rStyle w:val="a8"/>
          <w:rFonts w:ascii="Times New Roman" w:hAnsi="Times New Roman"/>
          <w:color w:val="000000"/>
          <w:sz w:val="28"/>
          <w:szCs w:val="28"/>
        </w:rPr>
        <w:footnoteReference w:id="10"/>
      </w:r>
      <w:r>
        <w:rPr>
          <w:rFonts w:ascii="Times New Roman" w:hAnsi="Times New Roman"/>
          <w:color w:val="000000"/>
          <w:sz w:val="28"/>
          <w:szCs w:val="28"/>
        </w:rPr>
        <w:t xml:space="preserve">. Суд, который рассматривает вопрос о добросовестности, </w:t>
      </w:r>
      <w:r>
        <w:rPr>
          <w:rFonts w:ascii="Times New Roman" w:hAnsi="Times New Roman"/>
          <w:color w:val="000000"/>
          <w:sz w:val="28"/>
          <w:szCs w:val="28"/>
        </w:rPr>
        <w:lastRenderedPageBreak/>
        <w:t>исходит из поведения, которое ожидается от любого участника гражданского оборота. Так, одна сторона переговоров должна уч</w:t>
      </w:r>
      <w:r>
        <w:rPr>
          <w:rFonts w:ascii="Times New Roman" w:hAnsi="Times New Roman"/>
          <w:color w:val="000000"/>
          <w:sz w:val="28"/>
          <w:szCs w:val="28"/>
        </w:rPr>
        <w:t>итывать права и законные интересы другой, которая содействует ей, в том числе в получении необходимой информации</w:t>
      </w:r>
      <w:r>
        <w:rPr>
          <w:rStyle w:val="a8"/>
          <w:rFonts w:ascii="Times New Roman" w:hAnsi="Times New Roman"/>
          <w:color w:val="000000"/>
          <w:sz w:val="28"/>
          <w:szCs w:val="28"/>
        </w:rPr>
        <w:footnoteReference w:id="11"/>
      </w:r>
      <w:r>
        <w:rPr>
          <w:rFonts w:ascii="Times New Roman" w:hAnsi="Times New Roman"/>
          <w:color w:val="000000"/>
          <w:sz w:val="28"/>
          <w:szCs w:val="28"/>
        </w:rPr>
        <w:t xml:space="preserve">. При этом компания, которую считают недобросовестной, также не должна бездействовать, а представить доказательства в свою защиту.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Ответственн</w:t>
      </w:r>
      <w:r>
        <w:rPr>
          <w:rFonts w:ascii="Times New Roman" w:hAnsi="Times New Roman"/>
          <w:color w:val="000000"/>
          <w:sz w:val="28"/>
          <w:szCs w:val="28"/>
        </w:rPr>
        <w:t>ость за недобросовестное ведение переговоров наступает независимо от того, был ли заключен договор (ч. 7 ст. 434.1 ГК РФ). Это дисциплинирует участников оборота и склоняет их к добросовестному поведению.</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условиях, когда одна сторона совершает недобросове</w:t>
      </w:r>
      <w:r>
        <w:rPr>
          <w:rFonts w:ascii="Times New Roman" w:hAnsi="Times New Roman"/>
          <w:color w:val="000000"/>
          <w:sz w:val="28"/>
          <w:szCs w:val="28"/>
        </w:rPr>
        <w:t>стные действия, другая сторона несет убытки, которые не понесла бы, если знала о таком поведении партнера. Она изначально не вступила бы в переговоры и не понесла бы затраты на их проведение. К убыткам добросовестной стороны Верховный суд РФ относит расход</w:t>
      </w:r>
      <w:r>
        <w:rPr>
          <w:rFonts w:ascii="Times New Roman" w:hAnsi="Times New Roman"/>
          <w:color w:val="000000"/>
          <w:sz w:val="28"/>
          <w:szCs w:val="28"/>
        </w:rPr>
        <w:t>ы по приготовлению к заключению договора, например, на закупку материалов, выпуск продукции и т. д. Чтобы определить размер убытков, нужно поставить потерпевшего в положение, в котором он находился бы, если бы не вступал в переговоры</w:t>
      </w:r>
      <w:r>
        <w:rPr>
          <w:rStyle w:val="a8"/>
          <w:rFonts w:ascii="Times New Roman" w:hAnsi="Times New Roman"/>
          <w:color w:val="000000"/>
          <w:sz w:val="28"/>
          <w:szCs w:val="28"/>
        </w:rPr>
        <w:footnoteReference w:id="12"/>
      </w:r>
      <w:r>
        <w:rPr>
          <w:rFonts w:ascii="Times New Roman" w:hAnsi="Times New Roman"/>
          <w:color w:val="000000"/>
          <w:sz w:val="28"/>
          <w:szCs w:val="28"/>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Кроме реального уще</w:t>
      </w:r>
      <w:r>
        <w:rPr>
          <w:rFonts w:ascii="Times New Roman" w:hAnsi="Times New Roman"/>
          <w:color w:val="000000"/>
          <w:sz w:val="28"/>
          <w:szCs w:val="28"/>
        </w:rPr>
        <w:t>рба, добросовестная сторона вправе обратиться за взысканием упущенной выгоды, если ранее, например, отказалась заключить аналогичный договор. К примеру, организация взыскивала арендную плату, которую не получила, потому что контрагент решил не заключать ос</w:t>
      </w:r>
      <w:r>
        <w:rPr>
          <w:rFonts w:ascii="Times New Roman" w:hAnsi="Times New Roman"/>
          <w:color w:val="000000"/>
          <w:sz w:val="28"/>
          <w:szCs w:val="28"/>
        </w:rPr>
        <w:t>новной договор, причем на тех условиях, которые сам и предложил на торгах. Требования удовлетворили в полном объеме из расчета арендной платы, которую предложила сторона торгов</w:t>
      </w:r>
      <w:r>
        <w:rPr>
          <w:rStyle w:val="a8"/>
          <w:rFonts w:ascii="Times New Roman" w:hAnsi="Times New Roman"/>
          <w:color w:val="000000"/>
          <w:sz w:val="28"/>
          <w:szCs w:val="28"/>
        </w:rPr>
        <w:footnoteReference w:id="13"/>
      </w:r>
      <w:r>
        <w:rPr>
          <w:rFonts w:ascii="Times New Roman" w:hAnsi="Times New Roman"/>
          <w:color w:val="000000"/>
          <w:sz w:val="28"/>
          <w:szCs w:val="28"/>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Кроме того, можно привлечь к ответственности сторону переговоров, если </w:t>
      </w:r>
      <w:r>
        <w:rPr>
          <w:rFonts w:ascii="Times New Roman" w:hAnsi="Times New Roman"/>
          <w:color w:val="000000"/>
          <w:sz w:val="28"/>
          <w:szCs w:val="28"/>
        </w:rPr>
        <w:t>последняя разгласила конфиденциальную информацию, либо использовала ее в своих целях (п. 4 ст. 434.1 ГК РФ). Такое поведение может быть не связано непосредственно с недобросовестным ведением переговоров. Сторона может действовать добросовестно, однако посл</w:t>
      </w:r>
      <w:r>
        <w:rPr>
          <w:rFonts w:ascii="Times New Roman" w:hAnsi="Times New Roman"/>
          <w:color w:val="000000"/>
          <w:sz w:val="28"/>
          <w:szCs w:val="28"/>
        </w:rPr>
        <w:t>е получения информации разгласить ее. Чтобы обезопасить сторону от компенсации убытков другой стороне, необходимо поместить полученную информацию под режим коммерческой тайны и обеспечьте ее безопасность в соответствии с внутренними регламентами компании.</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преддоговорная ответственность в гражданском праве представляет собой сложное и многогранное явление. В широком смысле ее следует рассматривать как ответственность, сочетающую в себе черты как договорной, так и внедоговорной ответственности,</w:t>
      </w:r>
      <w:r>
        <w:rPr>
          <w:rFonts w:ascii="Times New Roman" w:hAnsi="Times New Roman"/>
          <w:color w:val="000000"/>
          <w:sz w:val="28"/>
          <w:szCs w:val="28"/>
        </w:rPr>
        <w:t xml:space="preserve"> при этом в каждом конкретном случае эти черты проявляются в большей или меньшей степени.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Опираясь на формулировки действующего законодательства преддоговорную ответственность в узком смысле при том обстоятельстве, что договор не заключен, весьма затрудни</w:t>
      </w:r>
      <w:r>
        <w:rPr>
          <w:rFonts w:ascii="Times New Roman" w:hAnsi="Times New Roman"/>
          <w:color w:val="000000"/>
          <w:sz w:val="28"/>
          <w:szCs w:val="28"/>
        </w:rPr>
        <w:t>тельно отнести к какому-либо конкретному виду ответственности: она может быть как деликтной, так и квазидоговорной в зависимости от конкретных обстоятельств дела. Указанное также не позволяет говорить о ее полностью самостоятельной природе, в связи с чем п</w:t>
      </w:r>
      <w:r>
        <w:rPr>
          <w:rFonts w:ascii="Times New Roman" w:hAnsi="Times New Roman"/>
          <w:color w:val="000000"/>
          <w:sz w:val="28"/>
          <w:szCs w:val="28"/>
        </w:rPr>
        <w:t>реддоговорную ответственность следует признать неоднородным видом ответственности, наступающим на основании норм, содержащихся в договорном праве, однако по основаниям и условиям наступления, не относящимся в чистом виде к договорной ответственности и имею</w:t>
      </w:r>
      <w:r>
        <w:rPr>
          <w:rFonts w:ascii="Times New Roman" w:hAnsi="Times New Roman"/>
          <w:color w:val="000000"/>
          <w:sz w:val="28"/>
          <w:szCs w:val="28"/>
        </w:rPr>
        <w:t xml:space="preserve">щим определенные черты внедоговорной, в том числе деликтной, ответственности. </w:t>
      </w:r>
    </w:p>
    <w:p w:rsidR="00CB4835" w:rsidRDefault="002B774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Условием наступления изучаемой ответственности является недобросовестное поведение контрагента, что должен доказать истец, поскольку в гражданском праве действует презумпция доб</w:t>
      </w:r>
      <w:r>
        <w:rPr>
          <w:rFonts w:ascii="Times New Roman" w:eastAsia="Times New Roman" w:hAnsi="Times New Roman"/>
          <w:color w:val="000000"/>
          <w:sz w:val="28"/>
          <w:szCs w:val="28"/>
        </w:rPr>
        <w:t>росовестности.</w:t>
      </w:r>
    </w:p>
    <w:p w:rsidR="00CB4835" w:rsidRDefault="00CB4835">
      <w:pPr>
        <w:spacing w:after="0" w:line="360" w:lineRule="auto"/>
        <w:jc w:val="both"/>
        <w:rPr>
          <w:rFonts w:ascii="Times New Roman" w:hAnsi="Times New Roman"/>
          <w:color w:val="000000"/>
          <w:sz w:val="28"/>
          <w:szCs w:val="28"/>
        </w:rPr>
      </w:pPr>
    </w:p>
    <w:p w:rsidR="00CB4835" w:rsidRDefault="002B7744">
      <w:pPr>
        <w:pStyle w:val="1"/>
        <w:spacing w:before="0" w:line="360" w:lineRule="auto"/>
        <w:jc w:val="center"/>
        <w:rPr>
          <w:rFonts w:ascii="Times New Roman" w:hAnsi="Times New Roman"/>
          <w:color w:val="000000"/>
        </w:rPr>
      </w:pPr>
      <w:bookmarkStart w:id="19" w:name="_Toc70668260"/>
      <w:bookmarkEnd w:id="19"/>
      <w:r>
        <w:rPr>
          <w:rFonts w:ascii="Times New Roman" w:hAnsi="Times New Roman"/>
          <w:color w:val="000000"/>
        </w:rPr>
        <w:lastRenderedPageBreak/>
        <w:t>2.2.  Практика рассмотрения преддоговорных споров</w:t>
      </w: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Ответственность за недобросовестное ведение переговоров была установлена в ГК РФ пять лет назад, однако до настоящего времени четких критериев привлечения лица к преддоговорной ответственно</w:t>
      </w:r>
      <w:r>
        <w:rPr>
          <w:rFonts w:ascii="Times New Roman" w:hAnsi="Times New Roman"/>
          <w:color w:val="000000"/>
          <w:sz w:val="28"/>
          <w:szCs w:val="28"/>
        </w:rPr>
        <w:t xml:space="preserve">сти, не сформировано. Это, как представляется, связано с добросовестностью, а значит, каждый спор обладает индивидуальными особенностями. </w:t>
      </w:r>
    </w:p>
    <w:p w:rsidR="00CB4835" w:rsidRDefault="002B7744">
      <w:pPr>
        <w:pStyle w:val="a3"/>
        <w:spacing w:before="0" w:beforeAutospacing="0" w:after="0" w:afterAutospacing="0" w:line="360" w:lineRule="auto"/>
        <w:ind w:firstLine="709"/>
        <w:jc w:val="both"/>
        <w:rPr>
          <w:rStyle w:val="12"/>
          <w:color w:val="000000"/>
          <w:sz w:val="28"/>
          <w:szCs w:val="28"/>
          <w:shd w:val="clear" w:color="auto" w:fill="FFFFFF"/>
        </w:rPr>
      </w:pPr>
      <w:r>
        <w:rPr>
          <w:color w:val="000000"/>
          <w:sz w:val="28"/>
          <w:szCs w:val="28"/>
        </w:rPr>
        <w:t>В судебном порядке можно взыскать убытки, если истец представит доказательства, что контрагент создавал лишь видимост</w:t>
      </w:r>
      <w:r>
        <w:rPr>
          <w:color w:val="000000"/>
          <w:sz w:val="28"/>
          <w:szCs w:val="28"/>
        </w:rPr>
        <w:t xml:space="preserve">ь интереса в переговорном процессе. В судебной практике недобросовестным считается поведение, </w:t>
      </w:r>
      <w:r>
        <w:rPr>
          <w:rStyle w:val="12"/>
          <w:color w:val="000000"/>
          <w:sz w:val="28"/>
          <w:szCs w:val="28"/>
          <w:shd w:val="clear" w:color="auto" w:fill="FFFFFF"/>
        </w:rPr>
        <w:t xml:space="preserve">когда сторона ясно дала понять, что намерена заключить договор, а в последующем безосновательно отказалась и прекратила переговоры. </w:t>
      </w:r>
    </w:p>
    <w:p w:rsidR="00CB4835" w:rsidRDefault="002B7744">
      <w:pPr>
        <w:spacing w:after="0" w:line="360" w:lineRule="auto"/>
        <w:ind w:firstLine="709"/>
        <w:jc w:val="both"/>
        <w:rPr>
          <w:rFonts w:ascii="Times New Roman" w:hAnsi="Times New Roman"/>
          <w:color w:val="000000"/>
          <w:sz w:val="28"/>
          <w:szCs w:val="28"/>
        </w:rPr>
      </w:pPr>
      <w:r>
        <w:rPr>
          <w:rStyle w:val="12"/>
          <w:rFonts w:ascii="Times New Roman" w:hAnsi="Times New Roman"/>
          <w:color w:val="000000"/>
          <w:sz w:val="28"/>
          <w:szCs w:val="28"/>
          <w:shd w:val="clear" w:color="auto" w:fill="FFFFFF"/>
        </w:rPr>
        <w:t>Затянувшиеся переговоры без ц</w:t>
      </w:r>
      <w:r>
        <w:rPr>
          <w:rStyle w:val="12"/>
          <w:rFonts w:ascii="Times New Roman" w:hAnsi="Times New Roman"/>
          <w:color w:val="000000"/>
          <w:sz w:val="28"/>
          <w:szCs w:val="28"/>
          <w:shd w:val="clear" w:color="auto" w:fill="FFFFFF"/>
        </w:rPr>
        <w:t>ели оформления сделки станут основанием расценить действия отказавшегося контрагента недобросовестными и взыскать с него убытки. Например, в одном деле завод направил предложение обществу принять участие в конкурсе на право заключения договора поставки с э</w:t>
      </w:r>
      <w:r>
        <w:rPr>
          <w:rStyle w:val="12"/>
          <w:rFonts w:ascii="Times New Roman" w:hAnsi="Times New Roman"/>
          <w:color w:val="000000"/>
          <w:sz w:val="28"/>
          <w:szCs w:val="28"/>
          <w:shd w:val="clear" w:color="auto" w:fill="FFFFFF"/>
        </w:rPr>
        <w:t xml:space="preserve">лектростанцией. Адресовав обществу письмо, в котором указал, что является изготовителем оборудования по предмету конкурса. </w:t>
      </w:r>
      <w:r>
        <w:rPr>
          <w:rFonts w:ascii="Times New Roman" w:hAnsi="Times New Roman"/>
          <w:color w:val="000000"/>
          <w:sz w:val="28"/>
          <w:szCs w:val="28"/>
        </w:rPr>
        <w:t>Гарантировал, что заключит с обществом договор на поставку оборудования.</w:t>
      </w:r>
    </w:p>
    <w:p w:rsidR="00CB4835" w:rsidRDefault="002B7744">
      <w:pPr>
        <w:pStyle w:val="a3"/>
        <w:spacing w:before="0" w:beforeAutospacing="0" w:after="0" w:afterAutospacing="0" w:line="360" w:lineRule="auto"/>
        <w:ind w:firstLine="709"/>
        <w:jc w:val="both"/>
        <w:rPr>
          <w:color w:val="000000"/>
          <w:sz w:val="28"/>
          <w:szCs w:val="28"/>
        </w:rPr>
      </w:pPr>
      <w:r>
        <w:rPr>
          <w:rStyle w:val="12"/>
          <w:color w:val="000000"/>
          <w:sz w:val="28"/>
          <w:szCs w:val="28"/>
          <w:shd w:val="clear" w:color="auto" w:fill="FFFFFF"/>
        </w:rPr>
        <w:t>Общество, выиграв конкурс, со своей стороны направило заводу</w:t>
      </w:r>
      <w:r>
        <w:rPr>
          <w:rStyle w:val="12"/>
          <w:color w:val="000000"/>
          <w:sz w:val="28"/>
          <w:szCs w:val="28"/>
          <w:shd w:val="clear" w:color="auto" w:fill="FFFFFF"/>
        </w:rPr>
        <w:t xml:space="preserve"> подписанный договор поставки. Завод направил ответное письмо, в котором говорится о том, что договор был направлен на согласование. Общество параллельно подписало договор поставки с электростанцией и оплатило выдачу банковской гарантии. Вскоре завод опове</w:t>
      </w:r>
      <w:r>
        <w:rPr>
          <w:rStyle w:val="12"/>
          <w:color w:val="000000"/>
          <w:sz w:val="28"/>
          <w:szCs w:val="28"/>
          <w:shd w:val="clear" w:color="auto" w:fill="FFFFFF"/>
        </w:rPr>
        <w:t>стил общество, что имеются обстоятельства, препятствующие заключению договора, и заверил, что поставит общество в известность о дате подписания договора, как только они будут устранены. Общество направило запрос заводу о подтверждении возложенных на себя о</w:t>
      </w:r>
      <w:r>
        <w:rPr>
          <w:rStyle w:val="12"/>
          <w:color w:val="000000"/>
          <w:sz w:val="28"/>
          <w:szCs w:val="28"/>
          <w:shd w:val="clear" w:color="auto" w:fill="FFFFFF"/>
        </w:rPr>
        <w:t xml:space="preserve">бязательств по подписанию договора поставки, либо об отказе от их выполнения. Завод указал, что основные условия поставки не </w:t>
      </w:r>
      <w:r>
        <w:rPr>
          <w:rStyle w:val="12"/>
          <w:color w:val="000000"/>
          <w:sz w:val="28"/>
          <w:szCs w:val="28"/>
          <w:shd w:val="clear" w:color="auto" w:fill="FFFFFF"/>
        </w:rPr>
        <w:lastRenderedPageBreak/>
        <w:t>прошли согласование, договор не заключен, тем самым он не имеет гарантированных обязательств перед обществом и электростанцией. Общ</w:t>
      </w:r>
      <w:r>
        <w:rPr>
          <w:rStyle w:val="12"/>
          <w:color w:val="000000"/>
          <w:sz w:val="28"/>
          <w:szCs w:val="28"/>
          <w:shd w:val="clear" w:color="auto" w:fill="FFFFFF"/>
        </w:rPr>
        <w:t>ество было вынужденно выплатить неустойку электростанции за просрочку поставки и обратилось в суд с исковым заявлением о взыскании с завода возникших убытков. В судебном заседании общество представило доказательства, что заручилось согласием завода изготов</w:t>
      </w:r>
      <w:r>
        <w:rPr>
          <w:rStyle w:val="12"/>
          <w:color w:val="000000"/>
          <w:sz w:val="28"/>
          <w:szCs w:val="28"/>
          <w:shd w:val="clear" w:color="auto" w:fill="FFFFFF"/>
        </w:rPr>
        <w:t>ить предмет поставки для участия в конкурсе.</w:t>
      </w:r>
      <w:r>
        <w:rPr>
          <w:color w:val="000000"/>
          <w:sz w:val="28"/>
          <w:szCs w:val="28"/>
        </w:rPr>
        <w:t xml:space="preserve"> Завод от изготовления отказался вопреки разумному ожиданию общества. Тремя инстанциями были взысканы убытки, поскольку в суде было установлено, что завод </w:t>
      </w:r>
      <w:r>
        <w:rPr>
          <w:rStyle w:val="12"/>
          <w:color w:val="000000"/>
          <w:sz w:val="28"/>
          <w:szCs w:val="28"/>
          <w:shd w:val="clear" w:color="auto" w:fill="FFFFFF"/>
        </w:rPr>
        <w:t>необоснованно и неожиданно прекратил переговоры. Логика с</w:t>
      </w:r>
      <w:r>
        <w:rPr>
          <w:rStyle w:val="12"/>
          <w:color w:val="000000"/>
          <w:sz w:val="28"/>
          <w:szCs w:val="28"/>
          <w:shd w:val="clear" w:color="auto" w:fill="FFFFFF"/>
        </w:rPr>
        <w:t>оставления и хронологический порядок писем свидетельствуют о четко определенном намерении завода заключить договор. Общество не предполагало возможный отказ завода от своих обязательств. Судами было указано: чем длительнее переговоры, тем выше ожидания сто</w:t>
      </w:r>
      <w:r>
        <w:rPr>
          <w:rStyle w:val="12"/>
          <w:color w:val="000000"/>
          <w:sz w:val="28"/>
          <w:szCs w:val="28"/>
          <w:shd w:val="clear" w:color="auto" w:fill="FFFFFF"/>
        </w:rPr>
        <w:t>рон, что соглашение будет достигнуто. Условия правомерного выхода из длительных переговоров должны быть наиболее аргументированными с учетом времени и затрат сторон на них</w:t>
      </w:r>
      <w:r>
        <w:rPr>
          <w:rStyle w:val="a8"/>
          <w:color w:val="000000"/>
          <w:sz w:val="28"/>
          <w:szCs w:val="28"/>
          <w:shd w:val="clear" w:color="auto" w:fill="FFFFFF"/>
        </w:rPr>
        <w:footnoteReference w:id="14"/>
      </w:r>
      <w:r>
        <w:rPr>
          <w:rStyle w:val="12"/>
          <w:color w:val="000000"/>
          <w:sz w:val="28"/>
          <w:szCs w:val="28"/>
          <w:shd w:val="clear" w:color="auto" w:fill="FFFFFF"/>
        </w:rPr>
        <w:t xml:space="preserve">. </w:t>
      </w:r>
    </w:p>
    <w:p w:rsidR="00CB4835" w:rsidRDefault="002B7744">
      <w:pPr>
        <w:pStyle w:val="a3"/>
        <w:pBdr>
          <w:top w:val="nil"/>
          <w:left w:val="nil"/>
          <w:bottom w:val="nil"/>
          <w:right w:val="nil"/>
          <w:between w:val="nil"/>
        </w:pBdr>
        <w:shd w:val="solid" w:color="FFFFFF" w:fill="auto"/>
        <w:spacing w:before="0" w:beforeAutospacing="0" w:after="0" w:afterAutospacing="0" w:line="360" w:lineRule="auto"/>
        <w:ind w:firstLine="709"/>
        <w:jc w:val="both"/>
        <w:rPr>
          <w:rStyle w:val="12"/>
          <w:color w:val="000000"/>
          <w:sz w:val="28"/>
          <w:szCs w:val="28"/>
          <w:shd w:val="clear" w:color="auto" w:fill="FFFFFF"/>
        </w:rPr>
      </w:pPr>
      <w:r>
        <w:rPr>
          <w:color w:val="000000"/>
          <w:sz w:val="28"/>
          <w:szCs w:val="28"/>
        </w:rPr>
        <w:t xml:space="preserve">Фактические обстоятельства сыграли значительную роль и в другом деле. </w:t>
      </w:r>
      <w:r>
        <w:rPr>
          <w:rStyle w:val="12"/>
          <w:color w:val="000000"/>
          <w:sz w:val="28"/>
          <w:szCs w:val="28"/>
          <w:shd w:val="clear" w:color="auto" w:fill="FFFFFF"/>
        </w:rPr>
        <w:t>В рамках до</w:t>
      </w:r>
      <w:r>
        <w:rPr>
          <w:rStyle w:val="12"/>
          <w:color w:val="000000"/>
          <w:sz w:val="28"/>
          <w:szCs w:val="28"/>
          <w:shd w:val="clear" w:color="auto" w:fill="FFFFFF"/>
        </w:rPr>
        <w:t>говора поставки покупатель попросил поставщика об изготовлении оборудования с особыми характеристиками по индивидуальной спецификации. Гарантировал, что оборудование будет оплачено. Заказ оборудования у изготовителя был поставщиком осуществлен и оплачен. П</w:t>
      </w:r>
      <w:r>
        <w:rPr>
          <w:rStyle w:val="12"/>
          <w:color w:val="000000"/>
          <w:sz w:val="28"/>
          <w:szCs w:val="28"/>
          <w:shd w:val="clear" w:color="auto" w:fill="FFFFFF"/>
        </w:rPr>
        <w:t>окупатель заявил об отказе в получении оборудования и его оплате. Поставщиком был подан иск в суд о взыскании убытков в виде стоимости приобретенного оборудования. Иск был удовлетворен тремя инстанциями, расценившими отказ от получения и оплаты, как недобр</w:t>
      </w:r>
      <w:r>
        <w:rPr>
          <w:rStyle w:val="12"/>
          <w:color w:val="000000"/>
          <w:sz w:val="28"/>
          <w:szCs w:val="28"/>
          <w:shd w:val="clear" w:color="auto" w:fill="FFFFFF"/>
        </w:rPr>
        <w:t xml:space="preserve">осовестное поведение. Также было принято во внимание, что поставщик вследствие сорвавшихся переговоров совершал попытки вернуть товар изготовителю, чтобы в </w:t>
      </w:r>
      <w:r>
        <w:rPr>
          <w:rStyle w:val="12"/>
          <w:color w:val="000000"/>
          <w:sz w:val="28"/>
          <w:szCs w:val="28"/>
          <w:shd w:val="clear" w:color="auto" w:fill="FFFFFF"/>
        </w:rPr>
        <w:lastRenderedPageBreak/>
        <w:t>последующем реализовать третьим лицам, но это оказалось невозможным вследствие неординарных индивиду</w:t>
      </w:r>
      <w:r>
        <w:rPr>
          <w:rStyle w:val="12"/>
          <w:color w:val="000000"/>
          <w:sz w:val="28"/>
          <w:szCs w:val="28"/>
          <w:shd w:val="clear" w:color="auto" w:fill="FFFFFF"/>
        </w:rPr>
        <w:t>альных параметров изделия</w:t>
      </w:r>
      <w:r>
        <w:rPr>
          <w:rStyle w:val="a8"/>
          <w:color w:val="000000"/>
          <w:sz w:val="28"/>
          <w:szCs w:val="28"/>
          <w:shd w:val="clear" w:color="auto" w:fill="FFFFFF"/>
        </w:rPr>
        <w:footnoteReference w:id="15"/>
      </w:r>
      <w:r>
        <w:rPr>
          <w:rStyle w:val="12"/>
          <w:color w:val="000000"/>
          <w:sz w:val="28"/>
          <w:szCs w:val="28"/>
          <w:shd w:val="clear" w:color="auto" w:fill="FFFFFF"/>
        </w:rPr>
        <w:t xml:space="preserve">. </w:t>
      </w:r>
    </w:p>
    <w:p w:rsidR="00CB4835" w:rsidRDefault="002B7744">
      <w:pPr>
        <w:pStyle w:val="a3"/>
        <w:pBdr>
          <w:top w:val="nil"/>
          <w:left w:val="nil"/>
          <w:bottom w:val="nil"/>
          <w:right w:val="nil"/>
          <w:between w:val="nil"/>
        </w:pBdr>
        <w:shd w:val="solid" w:color="FFFFFF" w:fill="auto"/>
        <w:spacing w:before="0" w:beforeAutospacing="0" w:after="0" w:afterAutospacing="0" w:line="360" w:lineRule="auto"/>
        <w:ind w:firstLine="709"/>
        <w:jc w:val="both"/>
        <w:rPr>
          <w:color w:val="000000"/>
          <w:sz w:val="28"/>
          <w:szCs w:val="28"/>
        </w:rPr>
      </w:pPr>
      <w:r>
        <w:rPr>
          <w:rStyle w:val="12"/>
          <w:color w:val="000000"/>
          <w:sz w:val="28"/>
          <w:szCs w:val="28"/>
          <w:shd w:val="clear" w:color="auto" w:fill="FFFFFF"/>
        </w:rPr>
        <w:t>В другом деле общество было признано победителем закупки на поставку товара. В итоге общество отказалось от поставки, так как товар вырос в цене. Вследствие этого заказчик был вынужден купить аналогичный товар у другого поставщ</w:t>
      </w:r>
      <w:r>
        <w:rPr>
          <w:rStyle w:val="12"/>
          <w:color w:val="000000"/>
          <w:sz w:val="28"/>
          <w:szCs w:val="28"/>
          <w:shd w:val="clear" w:color="auto" w:fill="FFFFFF"/>
        </w:rPr>
        <w:t>ика по наиболее высокой цене. Заказчиком был подан иск в суд о взыскании убытков – разницы между ценой, которая указана в заявке и ценой замещающей сделки. Иск был удовлетворен тремя инстанциями. Заявка общества о принятии участия в конкурсе обозначает, чт</w:t>
      </w:r>
      <w:r>
        <w:rPr>
          <w:rStyle w:val="12"/>
          <w:color w:val="000000"/>
          <w:sz w:val="28"/>
          <w:szCs w:val="28"/>
          <w:shd w:val="clear" w:color="auto" w:fill="FFFFFF"/>
        </w:rPr>
        <w:t>о оно приняло его условия. Заказчиком и обществом было заключено соглашение, которое можно охарактеризовать как соглашение о ведении переговоров. Подавая заявку на участие в конкурсе общество было осведомлено о предмете и условиях поставки, поэтому могло д</w:t>
      </w:r>
      <w:r>
        <w:rPr>
          <w:rStyle w:val="12"/>
          <w:color w:val="000000"/>
          <w:sz w:val="28"/>
          <w:szCs w:val="28"/>
          <w:shd w:val="clear" w:color="auto" w:fill="FFFFFF"/>
        </w:rPr>
        <w:t>о того как выразить согласие провести предварительные переговоры о цене с продавцами товара</w:t>
      </w:r>
      <w:r>
        <w:rPr>
          <w:rStyle w:val="a8"/>
          <w:color w:val="000000"/>
          <w:sz w:val="28"/>
          <w:szCs w:val="28"/>
          <w:shd w:val="clear" w:color="auto" w:fill="FFFFFF"/>
        </w:rPr>
        <w:footnoteReference w:id="16"/>
      </w:r>
      <w:r>
        <w:rPr>
          <w:rStyle w:val="12"/>
          <w:color w:val="000000"/>
          <w:sz w:val="28"/>
          <w:szCs w:val="28"/>
          <w:shd w:val="clear" w:color="auto" w:fill="FFFFFF"/>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Факт ведения переговоров и установленных сторонами правил можно доказывать соглашением о ведении переговоров, но практика судов показывает, что стороны редко сос</w:t>
      </w:r>
      <w:r>
        <w:rPr>
          <w:rFonts w:ascii="Times New Roman" w:hAnsi="Times New Roman"/>
          <w:color w:val="000000"/>
          <w:sz w:val="28"/>
          <w:szCs w:val="28"/>
        </w:rPr>
        <w:t>тавляют такой документ. Другим вариантом являются свидетельские показания. При этом свидетели не должны иметь тесной формальной связи со стороной переговоров, иначе суд может расценить свидетельские показания как выбранную процессуальную позицию этой сторо</w:t>
      </w:r>
      <w:r>
        <w:rPr>
          <w:rFonts w:ascii="Times New Roman" w:hAnsi="Times New Roman"/>
          <w:color w:val="000000"/>
          <w:sz w:val="28"/>
          <w:szCs w:val="28"/>
        </w:rPr>
        <w:t xml:space="preserve">ны. Основное же доказательство в спорах о взыскании преддоговорных убытков это переписка сторон, в том числе электронная, которая фиксирует ход переговоров и поведение сторон.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Чтобы подтвердить относимость электронной переписки как доказательства, суд дол</w:t>
      </w:r>
      <w:r>
        <w:rPr>
          <w:rFonts w:ascii="Times New Roman" w:hAnsi="Times New Roman"/>
          <w:color w:val="000000"/>
          <w:sz w:val="28"/>
          <w:szCs w:val="28"/>
        </w:rPr>
        <w:t xml:space="preserve">жен установить, что ее вели уполномоченные представители сторон, например, с корпоративной почты. Суд также может принять в качестве доказательства переписку, которую вели с неофициального </w:t>
      </w:r>
      <w:r>
        <w:rPr>
          <w:rFonts w:ascii="Times New Roman" w:hAnsi="Times New Roman"/>
          <w:color w:val="000000"/>
          <w:sz w:val="28"/>
          <w:szCs w:val="28"/>
        </w:rPr>
        <w:lastRenderedPageBreak/>
        <w:t>адреса электронной почты, с учетом совокупности обстоятельств: хрон</w:t>
      </w:r>
      <w:r>
        <w:rPr>
          <w:rFonts w:ascii="Times New Roman" w:hAnsi="Times New Roman"/>
          <w:color w:val="000000"/>
          <w:sz w:val="28"/>
          <w:szCs w:val="28"/>
        </w:rPr>
        <w:t>ологической последовательности получения писем и направления на них ответов, присвоения письмам номеров исходящих документов, составления писем на официальных бланках и подписания уполномоченными лицами</w:t>
      </w:r>
      <w:r>
        <w:rPr>
          <w:rStyle w:val="a8"/>
          <w:rFonts w:ascii="Times New Roman" w:hAnsi="Times New Roman"/>
          <w:color w:val="000000"/>
          <w:sz w:val="28"/>
          <w:szCs w:val="28"/>
        </w:rPr>
        <w:footnoteReference w:id="17"/>
      </w:r>
      <w:r>
        <w:rPr>
          <w:rFonts w:ascii="Times New Roman" w:hAnsi="Times New Roman"/>
          <w:color w:val="000000"/>
          <w:sz w:val="28"/>
          <w:szCs w:val="28"/>
        </w:rPr>
        <w:t>. Целесообразно также нотариально оформлять удостовер</w:t>
      </w:r>
      <w:r>
        <w:rPr>
          <w:rFonts w:ascii="Times New Roman" w:hAnsi="Times New Roman"/>
          <w:color w:val="000000"/>
          <w:sz w:val="28"/>
          <w:szCs w:val="28"/>
        </w:rPr>
        <w:t xml:space="preserve">енный протокол осмотра письменных доказательств, чтобы повысить шансы, что суд примет электронную переписку в качестве доказательства.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Убытки не будут взысканы, если контрагент прекратил переговорный процесс из-за невыгодных условий сделки. Аналогично не </w:t>
      </w:r>
      <w:r>
        <w:rPr>
          <w:rFonts w:ascii="Times New Roman" w:hAnsi="Times New Roman"/>
          <w:color w:val="000000"/>
          <w:sz w:val="28"/>
          <w:szCs w:val="28"/>
        </w:rPr>
        <w:t xml:space="preserve">будет признана недобросовестность потенциального контрагента, вышедшего из переговоров, поскольку другая сторона не прошла проверку из-за ненадлежащих или недостоверных сведений в своей документации.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 общему правилу ст. 434.1 ГК РФ, которое предусматрив</w:t>
      </w:r>
      <w:r>
        <w:rPr>
          <w:rFonts w:ascii="Times New Roman" w:hAnsi="Times New Roman"/>
          <w:color w:val="000000"/>
          <w:sz w:val="28"/>
          <w:szCs w:val="28"/>
        </w:rPr>
        <w:t>ает, что стороны не отвечают за то, что не достигли соглашения, в судебном порядке должны быть оценены такие нюансы, как порядок ведения переговоров, равенство переговорных возможностей сторон. Если одной из сторон используется в качестве основания для обр</w:t>
      </w:r>
      <w:r>
        <w:rPr>
          <w:rFonts w:ascii="Times New Roman" w:hAnsi="Times New Roman"/>
          <w:color w:val="000000"/>
          <w:sz w:val="28"/>
          <w:szCs w:val="28"/>
        </w:rPr>
        <w:t xml:space="preserve">ащения в суд несогласие с условиями другой стороны или факт неготовности обсуждать встречные предложения, суд не удовлетворит иск.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качестве примера можно привести следующее дело. Общество направило банку обращение о выдаче кредита с государственным субс</w:t>
      </w:r>
      <w:r>
        <w:rPr>
          <w:rFonts w:ascii="Times New Roman" w:hAnsi="Times New Roman"/>
          <w:color w:val="000000"/>
          <w:sz w:val="28"/>
          <w:szCs w:val="28"/>
        </w:rPr>
        <w:t>идированием с приложением необходимых документов. Банк прервал переговорный процесс и отказал в выдаче денежных средств. Общество аналогичное обращение направило в другие банки, которые выразили согласие заключить кредитный договор с обществом, но на менее</w:t>
      </w:r>
      <w:r>
        <w:rPr>
          <w:rFonts w:ascii="Times New Roman" w:hAnsi="Times New Roman"/>
          <w:color w:val="000000"/>
          <w:sz w:val="28"/>
          <w:szCs w:val="28"/>
        </w:rPr>
        <w:t xml:space="preserve"> выгодных условиях, без субсидирования.</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Общество направило иск к банку о взыскании убытков, которые составили разницу между кредитной ставкой в незаключенном договоре и </w:t>
      </w:r>
      <w:r>
        <w:rPr>
          <w:rFonts w:ascii="Times New Roman" w:hAnsi="Times New Roman"/>
          <w:color w:val="000000"/>
          <w:sz w:val="28"/>
          <w:szCs w:val="28"/>
        </w:rPr>
        <w:lastRenderedPageBreak/>
        <w:t>ставкой других банков. Тремя инстанциями было отказано в удовлетворении иска, поскольку</w:t>
      </w:r>
      <w:r>
        <w:rPr>
          <w:rFonts w:ascii="Times New Roman" w:hAnsi="Times New Roman"/>
          <w:color w:val="000000"/>
          <w:sz w:val="28"/>
          <w:szCs w:val="28"/>
        </w:rPr>
        <w:t xml:space="preserve"> у банка есть право отказаться от заключения кредитного договора по результатам рассмотрения документов от потенциального заемщика. Такие действия банка не содержат признаков недобросовестности, поскольку им были проведены все необходимые действия по приня</w:t>
      </w:r>
      <w:r>
        <w:rPr>
          <w:rFonts w:ascii="Times New Roman" w:hAnsi="Times New Roman"/>
          <w:color w:val="000000"/>
          <w:sz w:val="28"/>
          <w:szCs w:val="28"/>
        </w:rPr>
        <w:t>тию, рассмотрению и анализу документации. Более того, разница в размере процентных ставок не может быть квалифицирована в качестве убытков, поскольку это является проявлением конкуренции кредитных учреждений, которая не обуславливает имущественные потери о</w:t>
      </w:r>
      <w:r>
        <w:rPr>
          <w:rFonts w:ascii="Times New Roman" w:hAnsi="Times New Roman"/>
          <w:color w:val="000000"/>
          <w:sz w:val="28"/>
          <w:szCs w:val="28"/>
        </w:rPr>
        <w:t>бщества</w:t>
      </w:r>
      <w:r>
        <w:rPr>
          <w:rStyle w:val="a8"/>
          <w:rFonts w:ascii="Times New Roman" w:hAnsi="Times New Roman"/>
          <w:color w:val="000000"/>
          <w:sz w:val="28"/>
          <w:szCs w:val="28"/>
        </w:rPr>
        <w:footnoteReference w:id="18"/>
      </w:r>
      <w:r>
        <w:rPr>
          <w:rFonts w:ascii="Times New Roman" w:hAnsi="Times New Roman"/>
          <w:color w:val="000000"/>
          <w:sz w:val="28"/>
          <w:szCs w:val="28"/>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Верховным судом РФ были указаны ориентиры для нижестоящих судов, которые рассматривают споры по преддоговорной ответственности.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Во-первых, сторона переговоров вправе одновременно вести переговоры с несколькими потенциальными контрагентами. Тако</w:t>
      </w:r>
      <w:r>
        <w:rPr>
          <w:rFonts w:ascii="Times New Roman" w:hAnsi="Times New Roman"/>
          <w:color w:val="000000"/>
          <w:sz w:val="28"/>
          <w:szCs w:val="28"/>
        </w:rPr>
        <w:t xml:space="preserve">е поведение не является недобросовестным или неоправданным и не может быть основанием для взыскания убытков.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Во-вторых, сторона не обязана сообщать потенциальному контрагенту, что ведет параллельные переговоры с другими лицами, а также предлагать ему закл</w:t>
      </w:r>
      <w:r>
        <w:rPr>
          <w:rFonts w:ascii="Times New Roman" w:hAnsi="Times New Roman"/>
          <w:color w:val="000000"/>
          <w:sz w:val="28"/>
          <w:szCs w:val="28"/>
        </w:rPr>
        <w:t xml:space="preserve">ючить сделку на условиях, которые предложил другой контрагент. Если же условие об эксклюзивности переговоров стороны предусмотрели в соглашении о порядке ведения переговоров и одна из сторон его нарушила, то она обязана возместить убытки.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В-третьих, выход</w:t>
      </w:r>
      <w:r>
        <w:rPr>
          <w:rFonts w:ascii="Times New Roman" w:hAnsi="Times New Roman"/>
          <w:color w:val="000000"/>
          <w:sz w:val="28"/>
          <w:szCs w:val="28"/>
        </w:rPr>
        <w:t xml:space="preserve"> из переговоров без объяснения причин или на поздней стадии не свидетельствует, что их прекратили неоправданно, а отказавшаяся сторона была недобросовестной. Для привлечения к ответственности не обязательно, чтобы стороны к моменту отказа от переговоров со</w:t>
      </w:r>
      <w:r>
        <w:rPr>
          <w:rFonts w:ascii="Times New Roman" w:hAnsi="Times New Roman"/>
          <w:color w:val="000000"/>
          <w:sz w:val="28"/>
          <w:szCs w:val="28"/>
        </w:rPr>
        <w:t xml:space="preserve">гласовали все условия будущего договора. Таким образом, добросовестность сторон будут </w:t>
      </w:r>
      <w:r>
        <w:rPr>
          <w:rFonts w:ascii="Times New Roman" w:hAnsi="Times New Roman"/>
          <w:color w:val="000000"/>
          <w:sz w:val="28"/>
          <w:szCs w:val="28"/>
        </w:rPr>
        <w:lastRenderedPageBreak/>
        <w:t>оценивать независимо от стадии, на которой находились прекращенные переговоры</w:t>
      </w:r>
      <w:r>
        <w:rPr>
          <w:rStyle w:val="a8"/>
          <w:rFonts w:ascii="Times New Roman" w:hAnsi="Times New Roman"/>
          <w:color w:val="000000"/>
          <w:sz w:val="28"/>
          <w:szCs w:val="28"/>
        </w:rPr>
        <w:footnoteReference w:id="19"/>
      </w:r>
      <w:r>
        <w:rPr>
          <w:rFonts w:ascii="Times New Roman" w:hAnsi="Times New Roman"/>
          <w:color w:val="000000"/>
          <w:sz w:val="28"/>
          <w:szCs w:val="28"/>
        </w:rPr>
        <w:t xml:space="preserve">. </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w:t>
      </w:r>
      <w:r>
        <w:rPr>
          <w:rFonts w:ascii="Times New Roman" w:hAnsi="Times New Roman"/>
          <w:color w:val="000000"/>
          <w:sz w:val="28"/>
          <w:szCs w:val="28"/>
        </w:rPr>
        <w:t xml:space="preserve">исходя из анализа материалов судебной практики, можно сделать вывод, что недобросовестным считается поведение, </w:t>
      </w:r>
      <w:r>
        <w:rPr>
          <w:rStyle w:val="12"/>
          <w:rFonts w:ascii="Times New Roman" w:hAnsi="Times New Roman"/>
          <w:color w:val="000000"/>
          <w:sz w:val="28"/>
          <w:szCs w:val="28"/>
          <w:shd w:val="clear" w:color="auto" w:fill="FFFFFF"/>
        </w:rPr>
        <w:t xml:space="preserve">когда сторона ясно дала понять, что намерена заключить договор, а в последующем безосновательно отказалась и прекратила переговоры. Затянувшиеся </w:t>
      </w:r>
      <w:r>
        <w:rPr>
          <w:rStyle w:val="12"/>
          <w:rFonts w:ascii="Times New Roman" w:hAnsi="Times New Roman"/>
          <w:color w:val="000000"/>
          <w:sz w:val="28"/>
          <w:szCs w:val="28"/>
          <w:shd w:val="clear" w:color="auto" w:fill="FFFFFF"/>
        </w:rPr>
        <w:t xml:space="preserve">переговоры без цели оформления сделки станут основанием расценить действия отказавшегося контрагента недобросовестными и взыскать с него убытки. </w:t>
      </w:r>
      <w:r>
        <w:rPr>
          <w:rFonts w:ascii="Times New Roman" w:hAnsi="Times New Roman"/>
          <w:color w:val="000000"/>
          <w:sz w:val="28"/>
          <w:szCs w:val="28"/>
        </w:rPr>
        <w:t>Убытки не будут взысканы, если контрагент прекратил переговорный процесс из-за невыгодных условий сделки. Анало</w:t>
      </w:r>
      <w:r>
        <w:rPr>
          <w:rFonts w:ascii="Times New Roman" w:hAnsi="Times New Roman"/>
          <w:color w:val="000000"/>
          <w:sz w:val="28"/>
          <w:szCs w:val="28"/>
        </w:rPr>
        <w:t>гично не будет признана недобросовестность потенциального контрагента, вышедшего из переговоров, поскольку другая сторона не прошла проверку из-за ненадлежащих или недостоверных сведений в своей документации. Если одной из сторон используется в качестве ос</w:t>
      </w:r>
      <w:r>
        <w:rPr>
          <w:rFonts w:ascii="Times New Roman" w:hAnsi="Times New Roman"/>
          <w:color w:val="000000"/>
          <w:sz w:val="28"/>
          <w:szCs w:val="28"/>
        </w:rPr>
        <w:t>нования для обращения в суд несогласие с условиями другой стороны или факт неготовности обсуждать встречные предложения, суд не посчитает такое поведение недобросовестным. Недобросовестность будет отсутствовать и в случае одновременного ведения переговоров</w:t>
      </w:r>
      <w:r>
        <w:rPr>
          <w:rFonts w:ascii="Times New Roman" w:hAnsi="Times New Roman"/>
          <w:color w:val="000000"/>
          <w:sz w:val="28"/>
          <w:szCs w:val="28"/>
        </w:rPr>
        <w:t xml:space="preserve"> с несколькими потенциальными контрагентами. </w:t>
      </w:r>
    </w:p>
    <w:p w:rsidR="00CB4835" w:rsidRDefault="00CB4835">
      <w:pPr>
        <w:spacing w:after="0" w:line="360" w:lineRule="auto"/>
        <w:ind w:firstLine="709"/>
        <w:jc w:val="both"/>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p w:rsidR="00CB4835" w:rsidRDefault="002B7744">
      <w:pPr>
        <w:spacing w:after="0" w:line="360" w:lineRule="auto"/>
        <w:ind w:firstLine="709"/>
        <w:jc w:val="both"/>
        <w:rPr>
          <w:rFonts w:ascii="Times New Roman" w:hAnsi="Times New Roman"/>
          <w:color w:val="000000"/>
          <w:sz w:val="28"/>
          <w:szCs w:val="28"/>
        </w:rPr>
      </w:pPr>
      <w:r>
        <w:br w:type="page"/>
      </w:r>
    </w:p>
    <w:p w:rsidR="00CB4835" w:rsidRDefault="002B7744">
      <w:pPr>
        <w:pStyle w:val="1"/>
        <w:spacing w:before="0" w:line="360" w:lineRule="auto"/>
        <w:jc w:val="center"/>
        <w:rPr>
          <w:rFonts w:ascii="Times New Roman" w:hAnsi="Times New Roman"/>
          <w:color w:val="000000"/>
        </w:rPr>
      </w:pPr>
      <w:bookmarkStart w:id="20" w:name="_Toc70668261"/>
      <w:bookmarkEnd w:id="20"/>
      <w:r>
        <w:rPr>
          <w:rFonts w:ascii="Times New Roman" w:hAnsi="Times New Roman"/>
          <w:color w:val="000000"/>
        </w:rPr>
        <w:lastRenderedPageBreak/>
        <w:t>ЗАКЛЮЧЕНИЕ</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заключение исследования необходимо подвести итоги.</w:t>
      </w:r>
    </w:p>
    <w:p w:rsidR="00CB4835" w:rsidRDefault="002B7744">
      <w:pPr>
        <w:pStyle w:val="a3"/>
        <w:spacing w:before="0" w:beforeAutospacing="0" w:after="0" w:afterAutospacing="0" w:line="360" w:lineRule="auto"/>
        <w:ind w:firstLine="709"/>
        <w:jc w:val="both"/>
        <w:rPr>
          <w:rFonts w:eastAsia="Times New Roman"/>
          <w:color w:val="000000"/>
          <w:sz w:val="28"/>
          <w:szCs w:val="28"/>
        </w:rPr>
      </w:pPr>
      <w:r>
        <w:rPr>
          <w:color w:val="000000"/>
          <w:sz w:val="28"/>
          <w:szCs w:val="28"/>
        </w:rPr>
        <w:t>Ст. 434. 1 ГК РФ закрепила ряд принципов ведения переговоров: 1) свобода граждан и юридических лиц в проведении переговоров о заключении догов</w:t>
      </w:r>
      <w:r>
        <w:rPr>
          <w:color w:val="000000"/>
          <w:sz w:val="28"/>
          <w:szCs w:val="28"/>
        </w:rPr>
        <w:t xml:space="preserve">ора </w:t>
      </w:r>
      <w:r>
        <w:rPr>
          <w:rFonts w:eastAsia="Times New Roman"/>
          <w:color w:val="000000"/>
          <w:sz w:val="28"/>
          <w:szCs w:val="28"/>
        </w:rPr>
        <w:t>(п. 1 ст. 434.1 ГК РФ); 2) стороны самостоятельно несут расходы, связанные с проведением переговоров (п. 1 ст. 434.1 ГК РФ); 3) стороны не отвечают за то, что соглашение не достигнуто (п. 1 ст. 434.1 ГК РФ); 4) стороны обязаны действовать добросовестно</w:t>
      </w:r>
      <w:r>
        <w:rPr>
          <w:rFonts w:eastAsia="Times New Roman"/>
          <w:color w:val="000000"/>
          <w:sz w:val="28"/>
          <w:szCs w:val="28"/>
        </w:rPr>
        <w:t xml:space="preserve"> (п. 2 ст. 434.1 ГК РФ); 5) сторона, получившая конфиденциальную информацию, обязана не раскрывать эту информацию и не использовать ее ненадлежащим образом для своих целей (п. 4 ст. 434.1 ГК РФ); 6) стороны могут заключить соглашение о порядке ведения пере</w:t>
      </w:r>
      <w:r>
        <w:rPr>
          <w:rFonts w:eastAsia="Times New Roman"/>
          <w:color w:val="000000"/>
          <w:sz w:val="28"/>
          <w:szCs w:val="28"/>
        </w:rPr>
        <w:t>говоров (п. 5 ст. 434.1 ГК РФ).</w:t>
      </w:r>
    </w:p>
    <w:p w:rsidR="00CB4835" w:rsidRDefault="002B7744">
      <w:pPr>
        <w:pStyle w:val="a3"/>
        <w:spacing w:before="0" w:beforeAutospacing="0" w:after="0" w:afterAutospacing="0" w:line="360" w:lineRule="auto"/>
        <w:ind w:firstLine="709"/>
        <w:jc w:val="both"/>
        <w:rPr>
          <w:color w:val="000000"/>
          <w:sz w:val="28"/>
          <w:szCs w:val="28"/>
        </w:rPr>
      </w:pPr>
      <w:r>
        <w:rPr>
          <w:rStyle w:val="12"/>
          <w:color w:val="000000"/>
          <w:sz w:val="28"/>
          <w:szCs w:val="28"/>
          <w:shd w:val="clear" w:color="auto" w:fill="FFFFFF"/>
        </w:rPr>
        <w:t>Соглашение о проведении переговоров включает: 1) регламент переговорного процесса. К примеру, определение порядка встреч, назначение даты и времени, выбор места и.т.д.; 2) определение правил для соблюдения обеими сторонами б</w:t>
      </w:r>
      <w:r>
        <w:rPr>
          <w:rStyle w:val="12"/>
          <w:color w:val="000000"/>
          <w:sz w:val="28"/>
          <w:szCs w:val="28"/>
          <w:shd w:val="clear" w:color="auto" w:fill="FFFFFF"/>
        </w:rPr>
        <w:t>удущей сделки; 3) конкретизацию требований к поведению сторон и определение добросовестного и недобросовестного поведения; 4) распределение расходов на переговорный процесс; 5) закрепление мер ответственности за нарушение этих правил, а также назначение не</w:t>
      </w:r>
      <w:r>
        <w:rPr>
          <w:rStyle w:val="12"/>
          <w:color w:val="000000"/>
          <w:sz w:val="28"/>
          <w:szCs w:val="28"/>
          <w:shd w:val="clear" w:color="auto" w:fill="FFFFFF"/>
        </w:rPr>
        <w:t>устойки. Таким образом, одну из сторон можно обязать выплатить неустойку за неявку на встречу, затягивание процесса пересылки документов и.т.д. Также неустойку могут взимать за нарушение конфиденциальности; 6) введение мер обеспечения – к примеру, требован</w:t>
      </w:r>
      <w:r>
        <w:rPr>
          <w:rStyle w:val="12"/>
          <w:color w:val="000000"/>
          <w:sz w:val="28"/>
          <w:szCs w:val="28"/>
          <w:shd w:val="clear" w:color="auto" w:fill="FFFFFF"/>
        </w:rPr>
        <w:t xml:space="preserve">ие предоставления независимой гарантии в случае разглашения </w:t>
      </w:r>
      <w:r>
        <w:rPr>
          <w:color w:val="000000"/>
          <w:sz w:val="28"/>
          <w:szCs w:val="28"/>
          <w:shd w:val="clear" w:color="auto" w:fill="FFFFFF"/>
        </w:rPr>
        <w:t>конфиденциальных сведений или использования их контрагентом-принципалом в своих целях. Законом, однако, запрещено включать в соглашение о ведении переговорного процесса положений, ограничивающих о</w:t>
      </w:r>
      <w:r>
        <w:rPr>
          <w:color w:val="000000"/>
          <w:sz w:val="28"/>
          <w:szCs w:val="28"/>
          <w:shd w:val="clear" w:color="auto" w:fill="FFFFFF"/>
        </w:rPr>
        <w:t>тветственность за недобросовестность. Такие условия не будут иметь юридической силы, так как противоречат закону (абз. 2 п. 5 ст. 434.1 ГК РФ).</w:t>
      </w:r>
    </w:p>
    <w:p w:rsidR="00CB4835" w:rsidRDefault="002B7744">
      <w:pPr>
        <w:spacing w:after="0" w:line="36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lastRenderedPageBreak/>
        <w:t xml:space="preserve">Преддоговорная ответственность в гражданском праве представляет собой сложное и многогранное явление. В широком </w:t>
      </w:r>
      <w:r>
        <w:rPr>
          <w:rFonts w:ascii="Times New Roman" w:hAnsi="Times New Roman"/>
          <w:color w:val="000000"/>
          <w:sz w:val="28"/>
          <w:szCs w:val="28"/>
        </w:rPr>
        <w:t xml:space="preserve">смысле ее следует рассматривать как ответственность, сочетающую в себе черты как договорной, так и внедоговорной ответственности, при этом в каждом конкретном случае эти черты проявляются в большей или меньшей степени. </w:t>
      </w:r>
      <w:r>
        <w:rPr>
          <w:rFonts w:ascii="Times New Roman" w:eastAsia="Times New Roman" w:hAnsi="Times New Roman"/>
          <w:color w:val="000000"/>
          <w:sz w:val="28"/>
          <w:szCs w:val="28"/>
        </w:rPr>
        <w:t>Условием наступления изучаемой ответс</w:t>
      </w:r>
      <w:r>
        <w:rPr>
          <w:rFonts w:ascii="Times New Roman" w:eastAsia="Times New Roman" w:hAnsi="Times New Roman"/>
          <w:color w:val="000000"/>
          <w:sz w:val="28"/>
          <w:szCs w:val="28"/>
        </w:rPr>
        <w:t>твенности является недобросовестное поведение контрагента, что должен доказать истец, поскольку в гражданском праве действует презумпция добросовестности.</w:t>
      </w:r>
    </w:p>
    <w:p w:rsidR="00CB4835" w:rsidRDefault="002B774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Исходя из анализа материалов судебной практики, можно сделать вывод, что недобросовестным считается п</w:t>
      </w:r>
      <w:r>
        <w:rPr>
          <w:rFonts w:ascii="Times New Roman" w:hAnsi="Times New Roman"/>
          <w:color w:val="000000"/>
          <w:sz w:val="28"/>
          <w:szCs w:val="28"/>
        </w:rPr>
        <w:t xml:space="preserve">оведение, </w:t>
      </w:r>
      <w:r>
        <w:rPr>
          <w:rStyle w:val="12"/>
          <w:rFonts w:ascii="Times New Roman" w:hAnsi="Times New Roman"/>
          <w:color w:val="000000"/>
          <w:sz w:val="28"/>
          <w:szCs w:val="28"/>
          <w:shd w:val="clear" w:color="auto" w:fill="FFFFFF"/>
        </w:rPr>
        <w:t xml:space="preserve">когда сторона ясно дала понять, что намерена заключить договор, а в последующем безосновательно отказалась и прекратила переговоры. Затянувшиеся переговоры без цели оформления сделки станут основанием расценить действия отказавшегося контрагента </w:t>
      </w:r>
      <w:r>
        <w:rPr>
          <w:rStyle w:val="12"/>
          <w:rFonts w:ascii="Times New Roman" w:hAnsi="Times New Roman"/>
          <w:color w:val="000000"/>
          <w:sz w:val="28"/>
          <w:szCs w:val="28"/>
          <w:shd w:val="clear" w:color="auto" w:fill="FFFFFF"/>
        </w:rPr>
        <w:t xml:space="preserve">недобросовестными и взыскать с него убытки. </w:t>
      </w:r>
      <w:r>
        <w:rPr>
          <w:rFonts w:ascii="Times New Roman" w:hAnsi="Times New Roman"/>
          <w:color w:val="000000"/>
          <w:sz w:val="28"/>
          <w:szCs w:val="28"/>
        </w:rPr>
        <w:t>Убытки не будут взысканы, если контрагент прекратил переговорный процесс из-за невыгодных условий сделки. Аналогично не будет признана недобросовестность потенциального контрагента, вышедшего из переговоров, поск</w:t>
      </w:r>
      <w:r>
        <w:rPr>
          <w:rFonts w:ascii="Times New Roman" w:hAnsi="Times New Roman"/>
          <w:color w:val="000000"/>
          <w:sz w:val="28"/>
          <w:szCs w:val="28"/>
        </w:rPr>
        <w:t>ольку другая сторона не прошла проверку из-за ненадлежащих или недостоверных сведений в своей документации. Если одной из сторон используется в качестве основания для обращения в суд несогласие с условиями другой стороны или факт неготовности обсуждать вст</w:t>
      </w:r>
      <w:r>
        <w:rPr>
          <w:rFonts w:ascii="Times New Roman" w:hAnsi="Times New Roman"/>
          <w:color w:val="000000"/>
          <w:sz w:val="28"/>
          <w:szCs w:val="28"/>
        </w:rPr>
        <w:t xml:space="preserve">речные предложения, суд не посчитает такое поведение недобросовестным. Недобросовестность будет отсутствовать и в случае одновременного ведения переговоров с несколькими потенциальными контрагентами. </w:t>
      </w:r>
      <w:r>
        <w:br w:type="page"/>
      </w:r>
    </w:p>
    <w:p w:rsidR="00CB4835" w:rsidRDefault="00CB4835">
      <w:pPr>
        <w:spacing w:after="0" w:line="360" w:lineRule="auto"/>
        <w:ind w:firstLine="709"/>
        <w:jc w:val="both"/>
        <w:rPr>
          <w:rFonts w:ascii="Times New Roman" w:eastAsia="Times New Roman" w:hAnsi="Times New Roman"/>
          <w:color w:val="000000"/>
          <w:sz w:val="28"/>
          <w:szCs w:val="28"/>
        </w:rPr>
      </w:pPr>
      <w:bookmarkStart w:id="21" w:name="_Toc70668262"/>
      <w:bookmarkStart w:id="22" w:name="_GoBack"/>
      <w:bookmarkEnd w:id="21"/>
      <w:bookmarkEnd w:id="22"/>
    </w:p>
    <w:p w:rsidR="00CB4835" w:rsidRDefault="00CB4835">
      <w:pPr>
        <w:spacing w:after="0" w:line="360" w:lineRule="auto"/>
        <w:jc w:val="both"/>
        <w:rPr>
          <w:rFonts w:ascii="Times New Roman" w:eastAsia="Times New Roman" w:hAnsi="Times New Roman"/>
          <w:color w:val="000000"/>
          <w:sz w:val="28"/>
          <w:szCs w:val="28"/>
        </w:rPr>
      </w:pPr>
    </w:p>
    <w:p w:rsidR="00CB4835" w:rsidRDefault="00CB4835">
      <w:pPr>
        <w:spacing w:after="0" w:line="360" w:lineRule="auto"/>
        <w:jc w:val="both"/>
        <w:rPr>
          <w:rFonts w:ascii="Times New Roman" w:hAnsi="Times New Roman"/>
          <w:color w:val="000000"/>
          <w:sz w:val="28"/>
          <w:szCs w:val="28"/>
        </w:rPr>
      </w:pPr>
    </w:p>
    <w:p w:rsidR="00CB4835" w:rsidRDefault="002B7744">
      <w:pPr>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 </w:t>
      </w:r>
    </w:p>
    <w:p w:rsidR="00CB4835" w:rsidRDefault="00CB4835">
      <w:pPr>
        <w:spacing w:after="0" w:line="360" w:lineRule="auto"/>
        <w:jc w:val="both"/>
        <w:rPr>
          <w:rFonts w:ascii="Times New Roman" w:hAnsi="Times New Roman"/>
          <w:color w:val="000000"/>
          <w:sz w:val="28"/>
          <w:szCs w:val="28"/>
        </w:rPr>
      </w:pPr>
    </w:p>
    <w:p w:rsidR="00CB4835" w:rsidRDefault="00CB4835">
      <w:pPr>
        <w:spacing w:after="0" w:line="360" w:lineRule="auto"/>
        <w:ind w:firstLine="709"/>
        <w:jc w:val="both"/>
        <w:rPr>
          <w:rFonts w:ascii="Times New Roman" w:hAnsi="Times New Roman"/>
          <w:color w:val="000000"/>
          <w:sz w:val="28"/>
          <w:szCs w:val="28"/>
        </w:rPr>
      </w:pPr>
    </w:p>
    <w:sectPr w:rsidR="00CB4835">
      <w:endnotePr>
        <w:numFmt w:val="decimal"/>
      </w:endnotePr>
      <w:pgSz w:w="11906"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44" w:rsidRDefault="002B7744">
      <w:pPr>
        <w:spacing w:after="0" w:line="240" w:lineRule="auto"/>
      </w:pPr>
      <w:r>
        <w:separator/>
      </w:r>
    </w:p>
  </w:endnote>
  <w:endnote w:type="continuationSeparator" w:id="0">
    <w:p w:rsidR="002B7744" w:rsidRDefault="002B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44" w:rsidRDefault="002B7744">
      <w:pPr>
        <w:spacing w:after="0" w:line="240" w:lineRule="auto"/>
      </w:pPr>
      <w:r>
        <w:separator/>
      </w:r>
    </w:p>
  </w:footnote>
  <w:footnote w:type="continuationSeparator" w:id="0">
    <w:p w:rsidR="002B7744" w:rsidRDefault="002B7744">
      <w:pPr>
        <w:spacing w:after="0" w:line="240" w:lineRule="auto"/>
      </w:pPr>
      <w:r>
        <w:continuationSeparator/>
      </w:r>
    </w:p>
  </w:footnote>
  <w:footnote w:id="1">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 xml:space="preserve">Гражданский </w:t>
      </w:r>
      <w:r>
        <w:rPr>
          <w:rFonts w:ascii="Times New Roman" w:eastAsia="Times New Roman" w:hAnsi="Times New Roman"/>
          <w:sz w:val="20"/>
          <w:szCs w:val="20"/>
        </w:rPr>
        <w:t>кодекс Российской Федерации (часть первая) от 30.11.1994 № 51-ФЗ (ред. от 09.03.2021) // Собрание законодательства РФ. 1994. № 32. Ст. 3301.</w:t>
      </w:r>
    </w:p>
  </w:footnote>
  <w:footnote w:id="2">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Богданов Д.Е. Справедливость как основное начало определения размера преддоговорной ответственности // Адвокат. 2</w:t>
      </w:r>
      <w:r>
        <w:rPr>
          <w:rFonts w:ascii="Times New Roman" w:hAnsi="Times New Roman"/>
          <w:sz w:val="20"/>
          <w:szCs w:val="20"/>
        </w:rPr>
        <w:t>014. № 4.; Богданова Е.Е. Тенденции развития гражданско-правовой ответственности за нарушение обязательств: проблемы и перспективы // Lex russica. 2017. № 5.</w:t>
      </w:r>
    </w:p>
  </w:footnote>
  <w:footnote w:id="3">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Постановление Пленума Верховного Суда РФ от 24.03.2016 № 7 (ред. от 07.02.2017) «О применении су</w:t>
      </w:r>
      <w:r>
        <w:rPr>
          <w:rFonts w:ascii="Times New Roman" w:eastAsia="Times New Roman" w:hAnsi="Times New Roman"/>
          <w:sz w:val="20"/>
          <w:szCs w:val="20"/>
        </w:rPr>
        <w:t>дами некоторых положений Гражданского кодекса Российской Федерации об ответственности за нарушение обязательств» // Бюллетень Верховного Суда РФ. № 5. май, 2016.</w:t>
      </w:r>
    </w:p>
  </w:footnote>
  <w:footnote w:id="4">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Розенберг М.Г. Контракт международной купли-продажи. Современная практика заключения. Разреш</w:t>
      </w:r>
      <w:r>
        <w:rPr>
          <w:rFonts w:ascii="Times New Roman" w:eastAsia="Times New Roman" w:hAnsi="Times New Roman"/>
          <w:sz w:val="20"/>
          <w:szCs w:val="20"/>
        </w:rPr>
        <w:t>ение споров. - М.: Международный центр финансово-экономического развития, 1996. С. 431 – 463.</w:t>
      </w:r>
    </w:p>
  </w:footnote>
  <w:footnote w:id="5">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Постановление Пленума Верховного Суда РФ от 24.03.2016 № 7 (ред. от 07.02.2017) «О применении судами некоторых положений Гражданского кодекса Российской Федерац</w:t>
      </w:r>
      <w:r>
        <w:rPr>
          <w:rFonts w:ascii="Times New Roman" w:eastAsia="Times New Roman" w:hAnsi="Times New Roman"/>
          <w:sz w:val="20"/>
          <w:szCs w:val="20"/>
        </w:rPr>
        <w:t>ии об ответственности за нарушение обязательств» // Бюллетень Верховного Суда РФ. № 5. май, 2016.</w:t>
      </w:r>
    </w:p>
  </w:footnote>
  <w:footnote w:id="6">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Московского округа от 29.11.2017 по делу № А41-90214/2016. Документ опубликован не был. Доступ из справ.-прав. системы «КонсультантПлюс».</w:t>
      </w:r>
    </w:p>
  </w:footnote>
  <w:footnote w:id="7">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Обзор судебной практики по вопросам, связанным с применением Федерального закона от 18.07.2011 № 223-ФЗ «О закупках товаров, работ, услуг отдельными видами юридических лиц» (утв. Президиумом Верховного Суда РФ 16.05.2018) // Бюллетень Верховного Суда РФ.</w:t>
      </w:r>
      <w:r>
        <w:rPr>
          <w:rFonts w:ascii="Times New Roman" w:eastAsia="Times New Roman" w:hAnsi="Times New Roman"/>
          <w:sz w:val="20"/>
          <w:szCs w:val="20"/>
        </w:rPr>
        <w:t xml:space="preserve"> № 2. февраль, 2019.</w:t>
      </w:r>
    </w:p>
  </w:footnote>
  <w:footnote w:id="8">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Центрального округа от 12.12.16 по делу № А84-315/2016. Документ опубликован не был. Доступ из справ.-прав. системы «Консультант Плюс».</w:t>
      </w:r>
    </w:p>
  </w:footnote>
  <w:footnote w:id="9">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Западно-Сибирского округа от 14.04.17 по делу № А27-11869/2</w:t>
      </w:r>
      <w:r>
        <w:rPr>
          <w:rFonts w:ascii="Times New Roman" w:hAnsi="Times New Roman"/>
        </w:rPr>
        <w:t>016. Документ опубликован не был. Доступ из справ.-прав. системы «Консультант Плюс».</w:t>
      </w:r>
    </w:p>
  </w:footnote>
  <w:footnote w:id="10">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Третьего ААС от 24.11.16 № 03АП-5308/16. Документ опубликован не был. Доступ из справ.-прав. системы «Консультант Плюс».</w:t>
      </w:r>
    </w:p>
  </w:footnote>
  <w:footnote w:id="11">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Постановление Пленума Верховного</w:t>
      </w:r>
      <w:r>
        <w:rPr>
          <w:rFonts w:ascii="Times New Roman" w:eastAsia="Times New Roman" w:hAnsi="Times New Roman"/>
          <w:sz w:val="20"/>
          <w:szCs w:val="20"/>
        </w:rPr>
        <w:t xml:space="preserve"> Суда РФ от 23.06.2015 № 25 «О применении судами некоторых положений раздела I части первой Гражданского кодекса Российской Федерации» // Бюллетень Верховного Суда РФ. № 8. август, 2015.</w:t>
      </w:r>
    </w:p>
  </w:footnote>
  <w:footnote w:id="12">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Постановление Пленума Верховного Суда РФ от 24.03.2016 № 7 (ред. от</w:t>
      </w:r>
      <w:r>
        <w:rPr>
          <w:rFonts w:ascii="Times New Roman" w:eastAsia="Times New Roman" w:hAnsi="Times New Roman"/>
          <w:sz w:val="20"/>
          <w:szCs w:val="20"/>
        </w:rPr>
        <w:t xml:space="preserve"> 07.02.2017)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 5. май, 2016.</w:t>
      </w:r>
    </w:p>
  </w:footnote>
  <w:footnote w:id="13">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Одиннадцатого ААС от 02.06.16 по делу № А55-23007</w:t>
      </w:r>
      <w:r>
        <w:rPr>
          <w:rFonts w:ascii="Times New Roman" w:hAnsi="Times New Roman"/>
        </w:rPr>
        <w:t>/2015. Документ опубликован не был. Доступ из справ.-прав. системы «Консультант Плюс».</w:t>
      </w:r>
    </w:p>
  </w:footnote>
  <w:footnote w:id="14">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Уральского округа от 20.01.2020 по делу № А47-88/2019. Документ опубликован не был. Доступ из справ.-прав. системы «Консультант Плюс».</w:t>
      </w:r>
    </w:p>
  </w:footnote>
  <w:footnote w:id="15">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w:t>
      </w:r>
      <w:r>
        <w:rPr>
          <w:rFonts w:ascii="Times New Roman" w:hAnsi="Times New Roman"/>
        </w:rPr>
        <w:t>е ФАС Уральского округа от 19.11.2019 по делу № А60-3964/2019. Документ опубликован не был. Доступ из справ.-прав. системы «Консультант Плюс».</w:t>
      </w:r>
    </w:p>
  </w:footnote>
  <w:footnote w:id="16">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Уральского округа от 15.10.2019 по делу № А07-27946/2018. Документ опубликован не был. Доступ</w:t>
      </w:r>
      <w:r>
        <w:rPr>
          <w:rFonts w:ascii="Times New Roman" w:hAnsi="Times New Roman"/>
        </w:rPr>
        <w:t xml:space="preserve"> из справ.-прав. системы «Консультант Плюс».</w:t>
      </w:r>
    </w:p>
  </w:footnote>
  <w:footnote w:id="17">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Восемнадцатого ААС от 09.10.2019 по делу № А47-88/2019. Документ опубликован не был. Доступ из справ.-прав. системы «Консультант Плюс».</w:t>
      </w:r>
    </w:p>
  </w:footnote>
  <w:footnote w:id="18">
    <w:p w:rsidR="00CB4835" w:rsidRDefault="002B7744">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Постановление ФАС Поволжского округа от 15.08.2019 по делу № А55-33134/2018. Документ опубликован не был. Доступ из справ.-прав. системы «Консультант Плюс».</w:t>
      </w:r>
    </w:p>
  </w:footnote>
  <w:footnote w:id="19">
    <w:p w:rsidR="00CB4835" w:rsidRDefault="002B7744">
      <w:pPr>
        <w:spacing w:after="0" w:line="240" w:lineRule="auto"/>
        <w:jc w:val="both"/>
        <w:rPr>
          <w:rFonts w:ascii="Times New Roman" w:hAnsi="Times New Roman"/>
          <w:sz w:val="20"/>
          <w:szCs w:val="20"/>
        </w:rPr>
      </w:pPr>
      <w:r>
        <w:rPr>
          <w:rStyle w:val="a8"/>
          <w:rFonts w:ascii="Times New Roman" w:hAnsi="Times New Roman"/>
          <w:sz w:val="20"/>
          <w:szCs w:val="20"/>
        </w:rPr>
        <w:footnoteRef/>
      </w:r>
      <w:r>
        <w:rPr>
          <w:rFonts w:ascii="Times New Roman" w:hAnsi="Times New Roman"/>
          <w:sz w:val="20"/>
          <w:szCs w:val="20"/>
        </w:rPr>
        <w:t xml:space="preserve"> Определение Верховного Суда РФ от 29.01.2020 по делу № А40-98757/2018. Документ опубликован не б</w:t>
      </w:r>
      <w:r>
        <w:rPr>
          <w:rFonts w:ascii="Times New Roman" w:hAnsi="Times New Roman"/>
          <w:sz w:val="20"/>
          <w:szCs w:val="20"/>
        </w:rPr>
        <w:t>ыл. Доступ из справ.-прав. системы «Консультант Плюс».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349"/>
    <w:multiLevelType w:val="hybridMultilevel"/>
    <w:tmpl w:val="D8B2D0B8"/>
    <w:name w:val="Нумерованный список 23"/>
    <w:lvl w:ilvl="0" w:tplc="D0F6F6C6">
      <w:numFmt w:val="bullet"/>
      <w:lvlText w:val=""/>
      <w:lvlJc w:val="left"/>
      <w:pPr>
        <w:ind w:left="360" w:firstLine="0"/>
      </w:pPr>
      <w:rPr>
        <w:rFonts w:ascii="Symbol" w:hAnsi="Symbol"/>
        <w:sz w:val="20"/>
      </w:rPr>
    </w:lvl>
    <w:lvl w:ilvl="1" w:tplc="C62E89D8">
      <w:start w:val="1"/>
      <w:numFmt w:val="decimal"/>
      <w:lvlText w:val="%2."/>
      <w:lvlJc w:val="left"/>
      <w:pPr>
        <w:ind w:left="1080" w:firstLine="0"/>
      </w:pPr>
    </w:lvl>
    <w:lvl w:ilvl="2" w:tplc="B166206C">
      <w:start w:val="1"/>
      <w:numFmt w:val="decimal"/>
      <w:lvlText w:val="%3."/>
      <w:lvlJc w:val="left"/>
      <w:pPr>
        <w:ind w:left="1800" w:firstLine="0"/>
      </w:pPr>
    </w:lvl>
    <w:lvl w:ilvl="3" w:tplc="3B42B45E">
      <w:start w:val="1"/>
      <w:numFmt w:val="decimal"/>
      <w:lvlText w:val="%4."/>
      <w:lvlJc w:val="left"/>
      <w:pPr>
        <w:ind w:left="2520" w:firstLine="0"/>
      </w:pPr>
    </w:lvl>
    <w:lvl w:ilvl="4" w:tplc="0BE0DE60">
      <w:start w:val="1"/>
      <w:numFmt w:val="decimal"/>
      <w:lvlText w:val="%5."/>
      <w:lvlJc w:val="left"/>
      <w:pPr>
        <w:ind w:left="3240" w:firstLine="0"/>
      </w:pPr>
    </w:lvl>
    <w:lvl w:ilvl="5" w:tplc="C3785A38">
      <w:start w:val="1"/>
      <w:numFmt w:val="decimal"/>
      <w:lvlText w:val="%6."/>
      <w:lvlJc w:val="left"/>
      <w:pPr>
        <w:ind w:left="3960" w:firstLine="0"/>
      </w:pPr>
    </w:lvl>
    <w:lvl w:ilvl="6" w:tplc="72C0B1CC">
      <w:start w:val="1"/>
      <w:numFmt w:val="decimal"/>
      <w:lvlText w:val="%7."/>
      <w:lvlJc w:val="left"/>
      <w:pPr>
        <w:ind w:left="4680" w:firstLine="0"/>
      </w:pPr>
    </w:lvl>
    <w:lvl w:ilvl="7" w:tplc="5FF4AC02">
      <w:start w:val="1"/>
      <w:numFmt w:val="decimal"/>
      <w:lvlText w:val="%8."/>
      <w:lvlJc w:val="left"/>
      <w:pPr>
        <w:ind w:left="5400" w:firstLine="0"/>
      </w:pPr>
    </w:lvl>
    <w:lvl w:ilvl="8" w:tplc="595C7B6E">
      <w:start w:val="1"/>
      <w:numFmt w:val="decimal"/>
      <w:lvlText w:val="%9."/>
      <w:lvlJc w:val="left"/>
      <w:pPr>
        <w:ind w:left="6120" w:firstLine="0"/>
      </w:pPr>
    </w:lvl>
  </w:abstractNum>
  <w:abstractNum w:abstractNumId="1" w15:restartNumberingAfterBreak="0">
    <w:nsid w:val="10095C10"/>
    <w:multiLevelType w:val="hybridMultilevel"/>
    <w:tmpl w:val="57FE0B68"/>
    <w:name w:val="Нумерованный список 16"/>
    <w:lvl w:ilvl="0" w:tplc="FB48B8E6">
      <w:numFmt w:val="bullet"/>
      <w:lvlText w:val=""/>
      <w:lvlJc w:val="left"/>
      <w:pPr>
        <w:ind w:left="360" w:firstLine="0"/>
      </w:pPr>
      <w:rPr>
        <w:rFonts w:ascii="Symbol" w:hAnsi="Symbol"/>
        <w:sz w:val="20"/>
      </w:rPr>
    </w:lvl>
    <w:lvl w:ilvl="1" w:tplc="E3AAAFFC">
      <w:start w:val="1"/>
      <w:numFmt w:val="decimal"/>
      <w:lvlText w:val="%2."/>
      <w:lvlJc w:val="left"/>
      <w:pPr>
        <w:ind w:left="1080" w:firstLine="0"/>
      </w:pPr>
    </w:lvl>
    <w:lvl w:ilvl="2" w:tplc="096CE4C6">
      <w:start w:val="1"/>
      <w:numFmt w:val="decimal"/>
      <w:lvlText w:val="%3."/>
      <w:lvlJc w:val="left"/>
      <w:pPr>
        <w:ind w:left="1800" w:firstLine="0"/>
      </w:pPr>
    </w:lvl>
    <w:lvl w:ilvl="3" w:tplc="FD240612">
      <w:start w:val="1"/>
      <w:numFmt w:val="decimal"/>
      <w:lvlText w:val="%4."/>
      <w:lvlJc w:val="left"/>
      <w:pPr>
        <w:ind w:left="2520" w:firstLine="0"/>
      </w:pPr>
    </w:lvl>
    <w:lvl w:ilvl="4" w:tplc="5E1E431C">
      <w:start w:val="1"/>
      <w:numFmt w:val="decimal"/>
      <w:lvlText w:val="%5."/>
      <w:lvlJc w:val="left"/>
      <w:pPr>
        <w:ind w:left="3240" w:firstLine="0"/>
      </w:pPr>
    </w:lvl>
    <w:lvl w:ilvl="5" w:tplc="DD2A2D74">
      <w:start w:val="1"/>
      <w:numFmt w:val="decimal"/>
      <w:lvlText w:val="%6."/>
      <w:lvlJc w:val="left"/>
      <w:pPr>
        <w:ind w:left="3960" w:firstLine="0"/>
      </w:pPr>
    </w:lvl>
    <w:lvl w:ilvl="6" w:tplc="0C240916">
      <w:start w:val="1"/>
      <w:numFmt w:val="decimal"/>
      <w:lvlText w:val="%7."/>
      <w:lvlJc w:val="left"/>
      <w:pPr>
        <w:ind w:left="4680" w:firstLine="0"/>
      </w:pPr>
    </w:lvl>
    <w:lvl w:ilvl="7" w:tplc="08ECCA84">
      <w:start w:val="1"/>
      <w:numFmt w:val="decimal"/>
      <w:lvlText w:val="%8."/>
      <w:lvlJc w:val="left"/>
      <w:pPr>
        <w:ind w:left="5400" w:firstLine="0"/>
      </w:pPr>
    </w:lvl>
    <w:lvl w:ilvl="8" w:tplc="DB48D96E">
      <w:start w:val="1"/>
      <w:numFmt w:val="decimal"/>
      <w:lvlText w:val="%9."/>
      <w:lvlJc w:val="left"/>
      <w:pPr>
        <w:ind w:left="6120" w:firstLine="0"/>
      </w:pPr>
    </w:lvl>
  </w:abstractNum>
  <w:abstractNum w:abstractNumId="2" w15:restartNumberingAfterBreak="0">
    <w:nsid w:val="13B12F6D"/>
    <w:multiLevelType w:val="hybridMultilevel"/>
    <w:tmpl w:val="445618CC"/>
    <w:lvl w:ilvl="0" w:tplc="B6FC7EAA">
      <w:numFmt w:val="none"/>
      <w:lvlText w:val=""/>
      <w:lvlJc w:val="left"/>
      <w:pPr>
        <w:tabs>
          <w:tab w:val="num" w:pos="360"/>
        </w:tabs>
        <w:ind w:left="360" w:hanging="360"/>
      </w:pPr>
    </w:lvl>
    <w:lvl w:ilvl="1" w:tplc="C9A671FE">
      <w:numFmt w:val="none"/>
      <w:lvlText w:val=""/>
      <w:lvlJc w:val="left"/>
      <w:pPr>
        <w:tabs>
          <w:tab w:val="num" w:pos="360"/>
        </w:tabs>
        <w:ind w:left="360" w:hanging="360"/>
      </w:pPr>
    </w:lvl>
    <w:lvl w:ilvl="2" w:tplc="95C06C86">
      <w:numFmt w:val="none"/>
      <w:lvlText w:val=""/>
      <w:lvlJc w:val="left"/>
      <w:pPr>
        <w:tabs>
          <w:tab w:val="num" w:pos="360"/>
        </w:tabs>
        <w:ind w:left="360" w:hanging="360"/>
      </w:pPr>
    </w:lvl>
    <w:lvl w:ilvl="3" w:tplc="D49850E2">
      <w:numFmt w:val="none"/>
      <w:lvlText w:val=""/>
      <w:lvlJc w:val="left"/>
      <w:pPr>
        <w:tabs>
          <w:tab w:val="num" w:pos="360"/>
        </w:tabs>
        <w:ind w:left="360" w:hanging="360"/>
      </w:pPr>
    </w:lvl>
    <w:lvl w:ilvl="4" w:tplc="69FC7578">
      <w:numFmt w:val="none"/>
      <w:lvlText w:val=""/>
      <w:lvlJc w:val="left"/>
      <w:pPr>
        <w:tabs>
          <w:tab w:val="num" w:pos="360"/>
        </w:tabs>
        <w:ind w:left="360" w:hanging="360"/>
      </w:pPr>
    </w:lvl>
    <w:lvl w:ilvl="5" w:tplc="F190D134">
      <w:numFmt w:val="none"/>
      <w:lvlText w:val=""/>
      <w:lvlJc w:val="left"/>
      <w:pPr>
        <w:tabs>
          <w:tab w:val="num" w:pos="360"/>
        </w:tabs>
        <w:ind w:left="360" w:hanging="360"/>
      </w:pPr>
    </w:lvl>
    <w:lvl w:ilvl="6" w:tplc="50DC88B0">
      <w:numFmt w:val="none"/>
      <w:lvlText w:val=""/>
      <w:lvlJc w:val="left"/>
      <w:pPr>
        <w:tabs>
          <w:tab w:val="num" w:pos="360"/>
        </w:tabs>
        <w:ind w:left="360" w:hanging="360"/>
      </w:pPr>
    </w:lvl>
    <w:lvl w:ilvl="7" w:tplc="6E3A46CC">
      <w:numFmt w:val="none"/>
      <w:lvlText w:val=""/>
      <w:lvlJc w:val="left"/>
      <w:pPr>
        <w:tabs>
          <w:tab w:val="num" w:pos="360"/>
        </w:tabs>
        <w:ind w:left="360" w:hanging="360"/>
      </w:pPr>
    </w:lvl>
    <w:lvl w:ilvl="8" w:tplc="6B7290D2">
      <w:numFmt w:val="none"/>
      <w:lvlText w:val=""/>
      <w:lvlJc w:val="left"/>
      <w:pPr>
        <w:tabs>
          <w:tab w:val="num" w:pos="360"/>
        </w:tabs>
        <w:ind w:left="360" w:hanging="360"/>
      </w:pPr>
    </w:lvl>
  </w:abstractNum>
  <w:abstractNum w:abstractNumId="3" w15:restartNumberingAfterBreak="0">
    <w:nsid w:val="167B16F8"/>
    <w:multiLevelType w:val="hybridMultilevel"/>
    <w:tmpl w:val="CF8A871A"/>
    <w:name w:val="Нумерованный список 21"/>
    <w:lvl w:ilvl="0" w:tplc="7FDC86DC">
      <w:numFmt w:val="bullet"/>
      <w:lvlText w:val=""/>
      <w:lvlJc w:val="left"/>
      <w:pPr>
        <w:ind w:left="360" w:firstLine="0"/>
      </w:pPr>
      <w:rPr>
        <w:rFonts w:ascii="Symbol" w:hAnsi="Symbol"/>
        <w:sz w:val="20"/>
      </w:rPr>
    </w:lvl>
    <w:lvl w:ilvl="1" w:tplc="08027776">
      <w:start w:val="1"/>
      <w:numFmt w:val="decimal"/>
      <w:lvlText w:val="%2."/>
      <w:lvlJc w:val="left"/>
      <w:pPr>
        <w:ind w:left="1080" w:firstLine="0"/>
      </w:pPr>
    </w:lvl>
    <w:lvl w:ilvl="2" w:tplc="4468CB58">
      <w:start w:val="1"/>
      <w:numFmt w:val="decimal"/>
      <w:lvlText w:val="%3."/>
      <w:lvlJc w:val="left"/>
      <w:pPr>
        <w:ind w:left="1800" w:firstLine="0"/>
      </w:pPr>
    </w:lvl>
    <w:lvl w:ilvl="3" w:tplc="7B3AEF3A">
      <w:start w:val="1"/>
      <w:numFmt w:val="decimal"/>
      <w:lvlText w:val="%4."/>
      <w:lvlJc w:val="left"/>
      <w:pPr>
        <w:ind w:left="2520" w:firstLine="0"/>
      </w:pPr>
    </w:lvl>
    <w:lvl w:ilvl="4" w:tplc="207203CC">
      <w:start w:val="1"/>
      <w:numFmt w:val="decimal"/>
      <w:lvlText w:val="%5."/>
      <w:lvlJc w:val="left"/>
      <w:pPr>
        <w:ind w:left="3240" w:firstLine="0"/>
      </w:pPr>
    </w:lvl>
    <w:lvl w:ilvl="5" w:tplc="1D84D8F6">
      <w:start w:val="1"/>
      <w:numFmt w:val="decimal"/>
      <w:lvlText w:val="%6."/>
      <w:lvlJc w:val="left"/>
      <w:pPr>
        <w:ind w:left="3960" w:firstLine="0"/>
      </w:pPr>
    </w:lvl>
    <w:lvl w:ilvl="6" w:tplc="181063A6">
      <w:start w:val="1"/>
      <w:numFmt w:val="decimal"/>
      <w:lvlText w:val="%7."/>
      <w:lvlJc w:val="left"/>
      <w:pPr>
        <w:ind w:left="4680" w:firstLine="0"/>
      </w:pPr>
    </w:lvl>
    <w:lvl w:ilvl="7" w:tplc="3392B8F8">
      <w:start w:val="1"/>
      <w:numFmt w:val="decimal"/>
      <w:lvlText w:val="%8."/>
      <w:lvlJc w:val="left"/>
      <w:pPr>
        <w:ind w:left="5400" w:firstLine="0"/>
      </w:pPr>
    </w:lvl>
    <w:lvl w:ilvl="8" w:tplc="7D06AB60">
      <w:start w:val="1"/>
      <w:numFmt w:val="decimal"/>
      <w:lvlText w:val="%9."/>
      <w:lvlJc w:val="left"/>
      <w:pPr>
        <w:ind w:left="6120" w:firstLine="0"/>
      </w:pPr>
    </w:lvl>
  </w:abstractNum>
  <w:abstractNum w:abstractNumId="4" w15:restartNumberingAfterBreak="0">
    <w:nsid w:val="1E350679"/>
    <w:multiLevelType w:val="hybridMultilevel"/>
    <w:tmpl w:val="EE20E1B6"/>
    <w:name w:val="Нумерованный список 18"/>
    <w:lvl w:ilvl="0" w:tplc="B0AA0EF8">
      <w:numFmt w:val="bullet"/>
      <w:lvlText w:val=""/>
      <w:lvlJc w:val="left"/>
      <w:pPr>
        <w:ind w:left="360" w:firstLine="0"/>
      </w:pPr>
      <w:rPr>
        <w:rFonts w:ascii="Symbol" w:hAnsi="Symbol"/>
        <w:sz w:val="20"/>
      </w:rPr>
    </w:lvl>
    <w:lvl w:ilvl="1" w:tplc="B908EB04">
      <w:start w:val="1"/>
      <w:numFmt w:val="decimal"/>
      <w:lvlText w:val="%2."/>
      <w:lvlJc w:val="left"/>
      <w:pPr>
        <w:ind w:left="1080" w:firstLine="0"/>
      </w:pPr>
    </w:lvl>
    <w:lvl w:ilvl="2" w:tplc="AA7CFB8C">
      <w:start w:val="1"/>
      <w:numFmt w:val="decimal"/>
      <w:lvlText w:val="%3."/>
      <w:lvlJc w:val="left"/>
      <w:pPr>
        <w:ind w:left="1800" w:firstLine="0"/>
      </w:pPr>
    </w:lvl>
    <w:lvl w:ilvl="3" w:tplc="AFCA7076">
      <w:start w:val="1"/>
      <w:numFmt w:val="decimal"/>
      <w:lvlText w:val="%4."/>
      <w:lvlJc w:val="left"/>
      <w:pPr>
        <w:ind w:left="2520" w:firstLine="0"/>
      </w:pPr>
    </w:lvl>
    <w:lvl w:ilvl="4" w:tplc="F9C82166">
      <w:start w:val="1"/>
      <w:numFmt w:val="decimal"/>
      <w:lvlText w:val="%5."/>
      <w:lvlJc w:val="left"/>
      <w:pPr>
        <w:ind w:left="3240" w:firstLine="0"/>
      </w:pPr>
    </w:lvl>
    <w:lvl w:ilvl="5" w:tplc="890AAA08">
      <w:start w:val="1"/>
      <w:numFmt w:val="decimal"/>
      <w:lvlText w:val="%6."/>
      <w:lvlJc w:val="left"/>
      <w:pPr>
        <w:ind w:left="3960" w:firstLine="0"/>
      </w:pPr>
    </w:lvl>
    <w:lvl w:ilvl="6" w:tplc="A83EFB4E">
      <w:start w:val="1"/>
      <w:numFmt w:val="decimal"/>
      <w:lvlText w:val="%7."/>
      <w:lvlJc w:val="left"/>
      <w:pPr>
        <w:ind w:left="4680" w:firstLine="0"/>
      </w:pPr>
    </w:lvl>
    <w:lvl w:ilvl="7" w:tplc="7B528042">
      <w:start w:val="1"/>
      <w:numFmt w:val="decimal"/>
      <w:lvlText w:val="%8."/>
      <w:lvlJc w:val="left"/>
      <w:pPr>
        <w:ind w:left="5400" w:firstLine="0"/>
      </w:pPr>
    </w:lvl>
    <w:lvl w:ilvl="8" w:tplc="D9949464">
      <w:start w:val="1"/>
      <w:numFmt w:val="decimal"/>
      <w:lvlText w:val="%9."/>
      <w:lvlJc w:val="left"/>
      <w:pPr>
        <w:ind w:left="6120" w:firstLine="0"/>
      </w:pPr>
    </w:lvl>
  </w:abstractNum>
  <w:abstractNum w:abstractNumId="5" w15:restartNumberingAfterBreak="0">
    <w:nsid w:val="1F703CFF"/>
    <w:multiLevelType w:val="hybridMultilevel"/>
    <w:tmpl w:val="8DDA4D04"/>
    <w:name w:val="Нумерованный список 2"/>
    <w:lvl w:ilvl="0" w:tplc="0CC8A11C">
      <w:numFmt w:val="bullet"/>
      <w:lvlText w:val=""/>
      <w:lvlJc w:val="left"/>
      <w:pPr>
        <w:ind w:left="360" w:firstLine="0"/>
      </w:pPr>
      <w:rPr>
        <w:rFonts w:ascii="Symbol" w:hAnsi="Symbol"/>
        <w:sz w:val="20"/>
      </w:rPr>
    </w:lvl>
    <w:lvl w:ilvl="1" w:tplc="57CCB6BE">
      <w:start w:val="1"/>
      <w:numFmt w:val="decimal"/>
      <w:lvlText w:val="%2."/>
      <w:lvlJc w:val="left"/>
      <w:pPr>
        <w:ind w:left="1080" w:firstLine="0"/>
      </w:pPr>
    </w:lvl>
    <w:lvl w:ilvl="2" w:tplc="4948A054">
      <w:start w:val="1"/>
      <w:numFmt w:val="decimal"/>
      <w:lvlText w:val="%3."/>
      <w:lvlJc w:val="left"/>
      <w:pPr>
        <w:ind w:left="1800" w:firstLine="0"/>
      </w:pPr>
    </w:lvl>
    <w:lvl w:ilvl="3" w:tplc="5EA2F746">
      <w:start w:val="1"/>
      <w:numFmt w:val="decimal"/>
      <w:lvlText w:val="%4."/>
      <w:lvlJc w:val="left"/>
      <w:pPr>
        <w:ind w:left="2520" w:firstLine="0"/>
      </w:pPr>
    </w:lvl>
    <w:lvl w:ilvl="4" w:tplc="D1843EF4">
      <w:start w:val="1"/>
      <w:numFmt w:val="decimal"/>
      <w:lvlText w:val="%5."/>
      <w:lvlJc w:val="left"/>
      <w:pPr>
        <w:ind w:left="3240" w:firstLine="0"/>
      </w:pPr>
    </w:lvl>
    <w:lvl w:ilvl="5" w:tplc="8F1C8D9C">
      <w:start w:val="1"/>
      <w:numFmt w:val="decimal"/>
      <w:lvlText w:val="%6."/>
      <w:lvlJc w:val="left"/>
      <w:pPr>
        <w:ind w:left="3960" w:firstLine="0"/>
      </w:pPr>
    </w:lvl>
    <w:lvl w:ilvl="6" w:tplc="0B40EDE0">
      <w:start w:val="1"/>
      <w:numFmt w:val="decimal"/>
      <w:lvlText w:val="%7."/>
      <w:lvlJc w:val="left"/>
      <w:pPr>
        <w:ind w:left="4680" w:firstLine="0"/>
      </w:pPr>
    </w:lvl>
    <w:lvl w:ilvl="7" w:tplc="3EF0EC34">
      <w:start w:val="1"/>
      <w:numFmt w:val="decimal"/>
      <w:lvlText w:val="%8."/>
      <w:lvlJc w:val="left"/>
      <w:pPr>
        <w:ind w:left="5400" w:firstLine="0"/>
      </w:pPr>
    </w:lvl>
    <w:lvl w:ilvl="8" w:tplc="2C225C9E">
      <w:start w:val="1"/>
      <w:numFmt w:val="decimal"/>
      <w:lvlText w:val="%9."/>
      <w:lvlJc w:val="left"/>
      <w:pPr>
        <w:ind w:left="6120" w:firstLine="0"/>
      </w:pPr>
    </w:lvl>
  </w:abstractNum>
  <w:abstractNum w:abstractNumId="6" w15:restartNumberingAfterBreak="0">
    <w:nsid w:val="20ED4B19"/>
    <w:multiLevelType w:val="hybridMultilevel"/>
    <w:tmpl w:val="9A427204"/>
    <w:name w:val="Нумерованный список 1"/>
    <w:lvl w:ilvl="0" w:tplc="67488BA6">
      <w:numFmt w:val="bullet"/>
      <w:lvlText w:val=""/>
      <w:lvlJc w:val="left"/>
      <w:pPr>
        <w:ind w:left="360" w:firstLine="0"/>
      </w:pPr>
      <w:rPr>
        <w:rFonts w:ascii="Symbol" w:hAnsi="Symbol"/>
        <w:sz w:val="20"/>
      </w:rPr>
    </w:lvl>
    <w:lvl w:ilvl="1" w:tplc="FF8A03CC">
      <w:start w:val="1"/>
      <w:numFmt w:val="decimal"/>
      <w:lvlText w:val="%2."/>
      <w:lvlJc w:val="left"/>
      <w:pPr>
        <w:ind w:left="1080" w:firstLine="0"/>
      </w:pPr>
    </w:lvl>
    <w:lvl w:ilvl="2" w:tplc="122EBD8C">
      <w:start w:val="1"/>
      <w:numFmt w:val="decimal"/>
      <w:lvlText w:val="%3."/>
      <w:lvlJc w:val="left"/>
      <w:pPr>
        <w:ind w:left="1800" w:firstLine="0"/>
      </w:pPr>
    </w:lvl>
    <w:lvl w:ilvl="3" w:tplc="598835E6">
      <w:start w:val="1"/>
      <w:numFmt w:val="decimal"/>
      <w:lvlText w:val="%4."/>
      <w:lvlJc w:val="left"/>
      <w:pPr>
        <w:ind w:left="2520" w:firstLine="0"/>
      </w:pPr>
    </w:lvl>
    <w:lvl w:ilvl="4" w:tplc="4AB43B16">
      <w:start w:val="1"/>
      <w:numFmt w:val="decimal"/>
      <w:lvlText w:val="%5."/>
      <w:lvlJc w:val="left"/>
      <w:pPr>
        <w:ind w:left="3240" w:firstLine="0"/>
      </w:pPr>
    </w:lvl>
    <w:lvl w:ilvl="5" w:tplc="2110EC1E">
      <w:start w:val="1"/>
      <w:numFmt w:val="decimal"/>
      <w:lvlText w:val="%6."/>
      <w:lvlJc w:val="left"/>
      <w:pPr>
        <w:ind w:left="3960" w:firstLine="0"/>
      </w:pPr>
    </w:lvl>
    <w:lvl w:ilvl="6" w:tplc="E4705296">
      <w:start w:val="1"/>
      <w:numFmt w:val="decimal"/>
      <w:lvlText w:val="%7."/>
      <w:lvlJc w:val="left"/>
      <w:pPr>
        <w:ind w:left="4680" w:firstLine="0"/>
      </w:pPr>
    </w:lvl>
    <w:lvl w:ilvl="7" w:tplc="A54E166A">
      <w:start w:val="1"/>
      <w:numFmt w:val="decimal"/>
      <w:lvlText w:val="%8."/>
      <w:lvlJc w:val="left"/>
      <w:pPr>
        <w:ind w:left="5400" w:firstLine="0"/>
      </w:pPr>
    </w:lvl>
    <w:lvl w:ilvl="8" w:tplc="4AC242DC">
      <w:start w:val="1"/>
      <w:numFmt w:val="decimal"/>
      <w:lvlText w:val="%9."/>
      <w:lvlJc w:val="left"/>
      <w:pPr>
        <w:ind w:left="6120" w:firstLine="0"/>
      </w:pPr>
    </w:lvl>
  </w:abstractNum>
  <w:abstractNum w:abstractNumId="7" w15:restartNumberingAfterBreak="0">
    <w:nsid w:val="363F4D4E"/>
    <w:multiLevelType w:val="hybridMultilevel"/>
    <w:tmpl w:val="EAFEB138"/>
    <w:name w:val="Нумерованный список 19"/>
    <w:lvl w:ilvl="0" w:tplc="4A806578">
      <w:numFmt w:val="bullet"/>
      <w:lvlText w:val=""/>
      <w:lvlJc w:val="left"/>
      <w:pPr>
        <w:ind w:left="360" w:firstLine="0"/>
      </w:pPr>
      <w:rPr>
        <w:rFonts w:ascii="Symbol" w:hAnsi="Symbol"/>
        <w:sz w:val="20"/>
      </w:rPr>
    </w:lvl>
    <w:lvl w:ilvl="1" w:tplc="313C527C">
      <w:start w:val="1"/>
      <w:numFmt w:val="decimal"/>
      <w:lvlText w:val="%2."/>
      <w:lvlJc w:val="left"/>
      <w:pPr>
        <w:ind w:left="1080" w:firstLine="0"/>
      </w:pPr>
    </w:lvl>
    <w:lvl w:ilvl="2" w:tplc="E94480E8">
      <w:start w:val="1"/>
      <w:numFmt w:val="decimal"/>
      <w:lvlText w:val="%3."/>
      <w:lvlJc w:val="left"/>
      <w:pPr>
        <w:ind w:left="1800" w:firstLine="0"/>
      </w:pPr>
    </w:lvl>
    <w:lvl w:ilvl="3" w:tplc="AF1443D0">
      <w:start w:val="1"/>
      <w:numFmt w:val="decimal"/>
      <w:lvlText w:val="%4."/>
      <w:lvlJc w:val="left"/>
      <w:pPr>
        <w:ind w:left="2520" w:firstLine="0"/>
      </w:pPr>
    </w:lvl>
    <w:lvl w:ilvl="4" w:tplc="05303D7A">
      <w:start w:val="1"/>
      <w:numFmt w:val="decimal"/>
      <w:lvlText w:val="%5."/>
      <w:lvlJc w:val="left"/>
      <w:pPr>
        <w:ind w:left="3240" w:firstLine="0"/>
      </w:pPr>
    </w:lvl>
    <w:lvl w:ilvl="5" w:tplc="FDECD9E2">
      <w:start w:val="1"/>
      <w:numFmt w:val="decimal"/>
      <w:lvlText w:val="%6."/>
      <w:lvlJc w:val="left"/>
      <w:pPr>
        <w:ind w:left="3960" w:firstLine="0"/>
      </w:pPr>
    </w:lvl>
    <w:lvl w:ilvl="6" w:tplc="2D7068F8">
      <w:start w:val="1"/>
      <w:numFmt w:val="decimal"/>
      <w:lvlText w:val="%7."/>
      <w:lvlJc w:val="left"/>
      <w:pPr>
        <w:ind w:left="4680" w:firstLine="0"/>
      </w:pPr>
    </w:lvl>
    <w:lvl w:ilvl="7" w:tplc="58CCFE06">
      <w:start w:val="1"/>
      <w:numFmt w:val="decimal"/>
      <w:lvlText w:val="%8."/>
      <w:lvlJc w:val="left"/>
      <w:pPr>
        <w:ind w:left="5400" w:firstLine="0"/>
      </w:pPr>
    </w:lvl>
    <w:lvl w:ilvl="8" w:tplc="BCD6E09E">
      <w:start w:val="1"/>
      <w:numFmt w:val="decimal"/>
      <w:lvlText w:val="%9."/>
      <w:lvlJc w:val="left"/>
      <w:pPr>
        <w:ind w:left="6120" w:firstLine="0"/>
      </w:pPr>
    </w:lvl>
  </w:abstractNum>
  <w:abstractNum w:abstractNumId="8" w15:restartNumberingAfterBreak="0">
    <w:nsid w:val="37521648"/>
    <w:multiLevelType w:val="hybridMultilevel"/>
    <w:tmpl w:val="F5F08C08"/>
    <w:name w:val="Нумерованный список 25"/>
    <w:lvl w:ilvl="0" w:tplc="A6C8BBC0">
      <w:numFmt w:val="bullet"/>
      <w:lvlText w:val=""/>
      <w:lvlJc w:val="left"/>
      <w:pPr>
        <w:ind w:left="360" w:firstLine="0"/>
      </w:pPr>
      <w:rPr>
        <w:rFonts w:ascii="Symbol" w:hAnsi="Symbol"/>
        <w:sz w:val="20"/>
      </w:rPr>
    </w:lvl>
    <w:lvl w:ilvl="1" w:tplc="2D2A043C">
      <w:start w:val="1"/>
      <w:numFmt w:val="decimal"/>
      <w:lvlText w:val="%2."/>
      <w:lvlJc w:val="left"/>
      <w:pPr>
        <w:ind w:left="1080" w:firstLine="0"/>
      </w:pPr>
    </w:lvl>
    <w:lvl w:ilvl="2" w:tplc="DB7EF2FE">
      <w:start w:val="1"/>
      <w:numFmt w:val="decimal"/>
      <w:lvlText w:val="%3."/>
      <w:lvlJc w:val="left"/>
      <w:pPr>
        <w:ind w:left="1800" w:firstLine="0"/>
      </w:pPr>
    </w:lvl>
    <w:lvl w:ilvl="3" w:tplc="9DE042F6">
      <w:start w:val="1"/>
      <w:numFmt w:val="decimal"/>
      <w:lvlText w:val="%4."/>
      <w:lvlJc w:val="left"/>
      <w:pPr>
        <w:ind w:left="2520" w:firstLine="0"/>
      </w:pPr>
    </w:lvl>
    <w:lvl w:ilvl="4" w:tplc="460A3EF6">
      <w:start w:val="1"/>
      <w:numFmt w:val="decimal"/>
      <w:lvlText w:val="%5."/>
      <w:lvlJc w:val="left"/>
      <w:pPr>
        <w:ind w:left="3240" w:firstLine="0"/>
      </w:pPr>
    </w:lvl>
    <w:lvl w:ilvl="5" w:tplc="BB7880EA">
      <w:start w:val="1"/>
      <w:numFmt w:val="decimal"/>
      <w:lvlText w:val="%6."/>
      <w:lvlJc w:val="left"/>
      <w:pPr>
        <w:ind w:left="3960" w:firstLine="0"/>
      </w:pPr>
    </w:lvl>
    <w:lvl w:ilvl="6" w:tplc="1706AD80">
      <w:start w:val="1"/>
      <w:numFmt w:val="decimal"/>
      <w:lvlText w:val="%7."/>
      <w:lvlJc w:val="left"/>
      <w:pPr>
        <w:ind w:left="4680" w:firstLine="0"/>
      </w:pPr>
    </w:lvl>
    <w:lvl w:ilvl="7" w:tplc="8F1244F0">
      <w:start w:val="1"/>
      <w:numFmt w:val="decimal"/>
      <w:lvlText w:val="%8."/>
      <w:lvlJc w:val="left"/>
      <w:pPr>
        <w:ind w:left="5400" w:firstLine="0"/>
      </w:pPr>
    </w:lvl>
    <w:lvl w:ilvl="8" w:tplc="3C944A48">
      <w:start w:val="1"/>
      <w:numFmt w:val="decimal"/>
      <w:lvlText w:val="%9."/>
      <w:lvlJc w:val="left"/>
      <w:pPr>
        <w:ind w:left="6120" w:firstLine="0"/>
      </w:pPr>
    </w:lvl>
  </w:abstractNum>
  <w:abstractNum w:abstractNumId="9" w15:restartNumberingAfterBreak="0">
    <w:nsid w:val="40CA5613"/>
    <w:multiLevelType w:val="hybridMultilevel"/>
    <w:tmpl w:val="CF8CD318"/>
    <w:name w:val="Нумерованный список 6"/>
    <w:lvl w:ilvl="0" w:tplc="CA28D48E">
      <w:numFmt w:val="bullet"/>
      <w:lvlText w:val=""/>
      <w:lvlJc w:val="left"/>
      <w:pPr>
        <w:ind w:left="360" w:firstLine="0"/>
      </w:pPr>
      <w:rPr>
        <w:rFonts w:ascii="Symbol" w:hAnsi="Symbol"/>
        <w:sz w:val="20"/>
      </w:rPr>
    </w:lvl>
    <w:lvl w:ilvl="1" w:tplc="FC74A982">
      <w:start w:val="1"/>
      <w:numFmt w:val="decimal"/>
      <w:lvlText w:val="%2."/>
      <w:lvlJc w:val="left"/>
      <w:pPr>
        <w:ind w:left="1080" w:firstLine="0"/>
      </w:pPr>
    </w:lvl>
    <w:lvl w:ilvl="2" w:tplc="8F1EE0F4">
      <w:start w:val="1"/>
      <w:numFmt w:val="decimal"/>
      <w:lvlText w:val="%3."/>
      <w:lvlJc w:val="left"/>
      <w:pPr>
        <w:ind w:left="1800" w:firstLine="0"/>
      </w:pPr>
    </w:lvl>
    <w:lvl w:ilvl="3" w:tplc="AA8AE114">
      <w:start w:val="1"/>
      <w:numFmt w:val="decimal"/>
      <w:lvlText w:val="%4."/>
      <w:lvlJc w:val="left"/>
      <w:pPr>
        <w:ind w:left="2520" w:firstLine="0"/>
      </w:pPr>
    </w:lvl>
    <w:lvl w:ilvl="4" w:tplc="6550370A">
      <w:start w:val="1"/>
      <w:numFmt w:val="decimal"/>
      <w:lvlText w:val="%5."/>
      <w:lvlJc w:val="left"/>
      <w:pPr>
        <w:ind w:left="3240" w:firstLine="0"/>
      </w:pPr>
    </w:lvl>
    <w:lvl w:ilvl="5" w:tplc="01A0AE94">
      <w:start w:val="1"/>
      <w:numFmt w:val="decimal"/>
      <w:lvlText w:val="%6."/>
      <w:lvlJc w:val="left"/>
      <w:pPr>
        <w:ind w:left="3960" w:firstLine="0"/>
      </w:pPr>
    </w:lvl>
    <w:lvl w:ilvl="6" w:tplc="0F66144A">
      <w:start w:val="1"/>
      <w:numFmt w:val="decimal"/>
      <w:lvlText w:val="%7."/>
      <w:lvlJc w:val="left"/>
      <w:pPr>
        <w:ind w:left="4680" w:firstLine="0"/>
      </w:pPr>
    </w:lvl>
    <w:lvl w:ilvl="7" w:tplc="AEFEEAC8">
      <w:start w:val="1"/>
      <w:numFmt w:val="decimal"/>
      <w:lvlText w:val="%8."/>
      <w:lvlJc w:val="left"/>
      <w:pPr>
        <w:ind w:left="5400" w:firstLine="0"/>
      </w:pPr>
    </w:lvl>
    <w:lvl w:ilvl="8" w:tplc="83B2CEA0">
      <w:start w:val="1"/>
      <w:numFmt w:val="decimal"/>
      <w:lvlText w:val="%9."/>
      <w:lvlJc w:val="left"/>
      <w:pPr>
        <w:ind w:left="6120" w:firstLine="0"/>
      </w:pPr>
    </w:lvl>
  </w:abstractNum>
  <w:abstractNum w:abstractNumId="10" w15:restartNumberingAfterBreak="0">
    <w:nsid w:val="41743BC5"/>
    <w:multiLevelType w:val="hybridMultilevel"/>
    <w:tmpl w:val="6F2C8D2A"/>
    <w:name w:val="Нумерованный список 8"/>
    <w:lvl w:ilvl="0" w:tplc="EDF2E244">
      <w:numFmt w:val="bullet"/>
      <w:lvlText w:val=""/>
      <w:lvlJc w:val="left"/>
      <w:pPr>
        <w:ind w:left="360" w:firstLine="0"/>
      </w:pPr>
      <w:rPr>
        <w:rFonts w:ascii="Symbol" w:hAnsi="Symbol"/>
        <w:sz w:val="20"/>
      </w:rPr>
    </w:lvl>
    <w:lvl w:ilvl="1" w:tplc="03D458A2">
      <w:start w:val="1"/>
      <w:numFmt w:val="decimal"/>
      <w:lvlText w:val="%2."/>
      <w:lvlJc w:val="left"/>
      <w:pPr>
        <w:ind w:left="1080" w:firstLine="0"/>
      </w:pPr>
    </w:lvl>
    <w:lvl w:ilvl="2" w:tplc="A3B28B1E">
      <w:start w:val="1"/>
      <w:numFmt w:val="decimal"/>
      <w:lvlText w:val="%3."/>
      <w:lvlJc w:val="left"/>
      <w:pPr>
        <w:ind w:left="1800" w:firstLine="0"/>
      </w:pPr>
    </w:lvl>
    <w:lvl w:ilvl="3" w:tplc="78E096E4">
      <w:start w:val="1"/>
      <w:numFmt w:val="decimal"/>
      <w:lvlText w:val="%4."/>
      <w:lvlJc w:val="left"/>
      <w:pPr>
        <w:ind w:left="2520" w:firstLine="0"/>
      </w:pPr>
    </w:lvl>
    <w:lvl w:ilvl="4" w:tplc="3E2C9618">
      <w:start w:val="1"/>
      <w:numFmt w:val="decimal"/>
      <w:lvlText w:val="%5."/>
      <w:lvlJc w:val="left"/>
      <w:pPr>
        <w:ind w:left="3240" w:firstLine="0"/>
      </w:pPr>
    </w:lvl>
    <w:lvl w:ilvl="5" w:tplc="C158041E">
      <w:start w:val="1"/>
      <w:numFmt w:val="decimal"/>
      <w:lvlText w:val="%6."/>
      <w:lvlJc w:val="left"/>
      <w:pPr>
        <w:ind w:left="3960" w:firstLine="0"/>
      </w:pPr>
    </w:lvl>
    <w:lvl w:ilvl="6" w:tplc="3B64CE30">
      <w:start w:val="1"/>
      <w:numFmt w:val="decimal"/>
      <w:lvlText w:val="%7."/>
      <w:lvlJc w:val="left"/>
      <w:pPr>
        <w:ind w:left="4680" w:firstLine="0"/>
      </w:pPr>
    </w:lvl>
    <w:lvl w:ilvl="7" w:tplc="92ECD1FC">
      <w:start w:val="1"/>
      <w:numFmt w:val="decimal"/>
      <w:lvlText w:val="%8."/>
      <w:lvlJc w:val="left"/>
      <w:pPr>
        <w:ind w:left="5400" w:firstLine="0"/>
      </w:pPr>
    </w:lvl>
    <w:lvl w:ilvl="8" w:tplc="2C9A9454">
      <w:start w:val="1"/>
      <w:numFmt w:val="decimal"/>
      <w:lvlText w:val="%9."/>
      <w:lvlJc w:val="left"/>
      <w:pPr>
        <w:ind w:left="6120" w:firstLine="0"/>
      </w:pPr>
    </w:lvl>
  </w:abstractNum>
  <w:abstractNum w:abstractNumId="11" w15:restartNumberingAfterBreak="0">
    <w:nsid w:val="44FC2A4B"/>
    <w:multiLevelType w:val="hybridMultilevel"/>
    <w:tmpl w:val="56D0CC30"/>
    <w:name w:val="Нумерованный список 5"/>
    <w:lvl w:ilvl="0" w:tplc="F6BC55EC">
      <w:numFmt w:val="bullet"/>
      <w:lvlText w:val=""/>
      <w:lvlJc w:val="left"/>
      <w:pPr>
        <w:ind w:left="360" w:firstLine="0"/>
      </w:pPr>
      <w:rPr>
        <w:rFonts w:ascii="Symbol" w:hAnsi="Symbol"/>
        <w:sz w:val="20"/>
      </w:rPr>
    </w:lvl>
    <w:lvl w:ilvl="1" w:tplc="BD946EE2">
      <w:start w:val="1"/>
      <w:numFmt w:val="decimal"/>
      <w:lvlText w:val="%2."/>
      <w:lvlJc w:val="left"/>
      <w:pPr>
        <w:ind w:left="1080" w:firstLine="0"/>
      </w:pPr>
    </w:lvl>
    <w:lvl w:ilvl="2" w:tplc="3D427CC6">
      <w:start w:val="1"/>
      <w:numFmt w:val="decimal"/>
      <w:lvlText w:val="%3."/>
      <w:lvlJc w:val="left"/>
      <w:pPr>
        <w:ind w:left="1800" w:firstLine="0"/>
      </w:pPr>
    </w:lvl>
    <w:lvl w:ilvl="3" w:tplc="22A0A37C">
      <w:start w:val="1"/>
      <w:numFmt w:val="decimal"/>
      <w:lvlText w:val="%4."/>
      <w:lvlJc w:val="left"/>
      <w:pPr>
        <w:ind w:left="2520" w:firstLine="0"/>
      </w:pPr>
    </w:lvl>
    <w:lvl w:ilvl="4" w:tplc="59EC1870">
      <w:start w:val="1"/>
      <w:numFmt w:val="decimal"/>
      <w:lvlText w:val="%5."/>
      <w:lvlJc w:val="left"/>
      <w:pPr>
        <w:ind w:left="3240" w:firstLine="0"/>
      </w:pPr>
    </w:lvl>
    <w:lvl w:ilvl="5" w:tplc="C8C85102">
      <w:start w:val="1"/>
      <w:numFmt w:val="decimal"/>
      <w:lvlText w:val="%6."/>
      <w:lvlJc w:val="left"/>
      <w:pPr>
        <w:ind w:left="3960" w:firstLine="0"/>
      </w:pPr>
    </w:lvl>
    <w:lvl w:ilvl="6" w:tplc="348893DE">
      <w:start w:val="1"/>
      <w:numFmt w:val="decimal"/>
      <w:lvlText w:val="%7."/>
      <w:lvlJc w:val="left"/>
      <w:pPr>
        <w:ind w:left="4680" w:firstLine="0"/>
      </w:pPr>
    </w:lvl>
    <w:lvl w:ilvl="7" w:tplc="4E128382">
      <w:start w:val="1"/>
      <w:numFmt w:val="decimal"/>
      <w:lvlText w:val="%8."/>
      <w:lvlJc w:val="left"/>
      <w:pPr>
        <w:ind w:left="5400" w:firstLine="0"/>
      </w:pPr>
    </w:lvl>
    <w:lvl w:ilvl="8" w:tplc="795073E4">
      <w:start w:val="1"/>
      <w:numFmt w:val="decimal"/>
      <w:lvlText w:val="%9."/>
      <w:lvlJc w:val="left"/>
      <w:pPr>
        <w:ind w:left="6120" w:firstLine="0"/>
      </w:pPr>
    </w:lvl>
  </w:abstractNum>
  <w:abstractNum w:abstractNumId="12" w15:restartNumberingAfterBreak="0">
    <w:nsid w:val="462B15B3"/>
    <w:multiLevelType w:val="hybridMultilevel"/>
    <w:tmpl w:val="6A023462"/>
    <w:name w:val="Нумерованный список 11"/>
    <w:lvl w:ilvl="0" w:tplc="0B424962">
      <w:numFmt w:val="bullet"/>
      <w:lvlText w:val=""/>
      <w:lvlJc w:val="left"/>
      <w:pPr>
        <w:ind w:left="360" w:firstLine="0"/>
      </w:pPr>
      <w:rPr>
        <w:rFonts w:ascii="Symbol" w:hAnsi="Symbol"/>
        <w:sz w:val="20"/>
      </w:rPr>
    </w:lvl>
    <w:lvl w:ilvl="1" w:tplc="8D2EBDEC">
      <w:start w:val="1"/>
      <w:numFmt w:val="decimal"/>
      <w:lvlText w:val="%2."/>
      <w:lvlJc w:val="left"/>
      <w:pPr>
        <w:ind w:left="1080" w:firstLine="0"/>
      </w:pPr>
    </w:lvl>
    <w:lvl w:ilvl="2" w:tplc="82880756">
      <w:start w:val="1"/>
      <w:numFmt w:val="decimal"/>
      <w:lvlText w:val="%3."/>
      <w:lvlJc w:val="left"/>
      <w:pPr>
        <w:ind w:left="1800" w:firstLine="0"/>
      </w:pPr>
    </w:lvl>
    <w:lvl w:ilvl="3" w:tplc="A800A1A8">
      <w:start w:val="1"/>
      <w:numFmt w:val="decimal"/>
      <w:lvlText w:val="%4."/>
      <w:lvlJc w:val="left"/>
      <w:pPr>
        <w:ind w:left="2520" w:firstLine="0"/>
      </w:pPr>
    </w:lvl>
    <w:lvl w:ilvl="4" w:tplc="5B72AF52">
      <w:start w:val="1"/>
      <w:numFmt w:val="decimal"/>
      <w:lvlText w:val="%5."/>
      <w:lvlJc w:val="left"/>
      <w:pPr>
        <w:ind w:left="3240" w:firstLine="0"/>
      </w:pPr>
    </w:lvl>
    <w:lvl w:ilvl="5" w:tplc="7A128666">
      <w:start w:val="1"/>
      <w:numFmt w:val="decimal"/>
      <w:lvlText w:val="%6."/>
      <w:lvlJc w:val="left"/>
      <w:pPr>
        <w:ind w:left="3960" w:firstLine="0"/>
      </w:pPr>
    </w:lvl>
    <w:lvl w:ilvl="6" w:tplc="88546B1A">
      <w:start w:val="1"/>
      <w:numFmt w:val="decimal"/>
      <w:lvlText w:val="%7."/>
      <w:lvlJc w:val="left"/>
      <w:pPr>
        <w:ind w:left="4680" w:firstLine="0"/>
      </w:pPr>
    </w:lvl>
    <w:lvl w:ilvl="7" w:tplc="5C1C3078">
      <w:start w:val="1"/>
      <w:numFmt w:val="decimal"/>
      <w:lvlText w:val="%8."/>
      <w:lvlJc w:val="left"/>
      <w:pPr>
        <w:ind w:left="5400" w:firstLine="0"/>
      </w:pPr>
    </w:lvl>
    <w:lvl w:ilvl="8" w:tplc="B96CF8F2">
      <w:start w:val="1"/>
      <w:numFmt w:val="decimal"/>
      <w:lvlText w:val="%9."/>
      <w:lvlJc w:val="left"/>
      <w:pPr>
        <w:ind w:left="6120" w:firstLine="0"/>
      </w:pPr>
    </w:lvl>
  </w:abstractNum>
  <w:abstractNum w:abstractNumId="13" w15:restartNumberingAfterBreak="0">
    <w:nsid w:val="47194B4B"/>
    <w:multiLevelType w:val="hybridMultilevel"/>
    <w:tmpl w:val="7B526978"/>
    <w:name w:val="Нумерованный список 10"/>
    <w:lvl w:ilvl="0" w:tplc="808280AC">
      <w:numFmt w:val="bullet"/>
      <w:lvlText w:val=""/>
      <w:lvlJc w:val="left"/>
      <w:pPr>
        <w:ind w:left="360" w:firstLine="0"/>
      </w:pPr>
      <w:rPr>
        <w:rFonts w:ascii="Symbol" w:hAnsi="Symbol"/>
        <w:sz w:val="20"/>
      </w:rPr>
    </w:lvl>
    <w:lvl w:ilvl="1" w:tplc="E062CE96">
      <w:start w:val="1"/>
      <w:numFmt w:val="decimal"/>
      <w:lvlText w:val="%2."/>
      <w:lvlJc w:val="left"/>
      <w:pPr>
        <w:ind w:left="1080" w:firstLine="0"/>
      </w:pPr>
    </w:lvl>
    <w:lvl w:ilvl="2" w:tplc="F37A2EDE">
      <w:start w:val="1"/>
      <w:numFmt w:val="decimal"/>
      <w:lvlText w:val="%3."/>
      <w:lvlJc w:val="left"/>
      <w:pPr>
        <w:ind w:left="1800" w:firstLine="0"/>
      </w:pPr>
    </w:lvl>
    <w:lvl w:ilvl="3" w:tplc="5A7CCCFC">
      <w:start w:val="1"/>
      <w:numFmt w:val="decimal"/>
      <w:lvlText w:val="%4."/>
      <w:lvlJc w:val="left"/>
      <w:pPr>
        <w:ind w:left="2520" w:firstLine="0"/>
      </w:pPr>
    </w:lvl>
    <w:lvl w:ilvl="4" w:tplc="8C8C3C4C">
      <w:start w:val="1"/>
      <w:numFmt w:val="decimal"/>
      <w:lvlText w:val="%5."/>
      <w:lvlJc w:val="left"/>
      <w:pPr>
        <w:ind w:left="3240" w:firstLine="0"/>
      </w:pPr>
    </w:lvl>
    <w:lvl w:ilvl="5" w:tplc="8280C79C">
      <w:start w:val="1"/>
      <w:numFmt w:val="decimal"/>
      <w:lvlText w:val="%6."/>
      <w:lvlJc w:val="left"/>
      <w:pPr>
        <w:ind w:left="3960" w:firstLine="0"/>
      </w:pPr>
    </w:lvl>
    <w:lvl w:ilvl="6" w:tplc="26A26CA8">
      <w:start w:val="1"/>
      <w:numFmt w:val="decimal"/>
      <w:lvlText w:val="%7."/>
      <w:lvlJc w:val="left"/>
      <w:pPr>
        <w:ind w:left="4680" w:firstLine="0"/>
      </w:pPr>
    </w:lvl>
    <w:lvl w:ilvl="7" w:tplc="F9CCB0A0">
      <w:start w:val="1"/>
      <w:numFmt w:val="decimal"/>
      <w:lvlText w:val="%8."/>
      <w:lvlJc w:val="left"/>
      <w:pPr>
        <w:ind w:left="5400" w:firstLine="0"/>
      </w:pPr>
    </w:lvl>
    <w:lvl w:ilvl="8" w:tplc="60BC74E8">
      <w:start w:val="1"/>
      <w:numFmt w:val="decimal"/>
      <w:lvlText w:val="%9."/>
      <w:lvlJc w:val="left"/>
      <w:pPr>
        <w:ind w:left="6120" w:firstLine="0"/>
      </w:pPr>
    </w:lvl>
  </w:abstractNum>
  <w:abstractNum w:abstractNumId="14" w15:restartNumberingAfterBreak="0">
    <w:nsid w:val="47386777"/>
    <w:multiLevelType w:val="hybridMultilevel"/>
    <w:tmpl w:val="F4D2CD86"/>
    <w:name w:val="Нумерованный список 3"/>
    <w:lvl w:ilvl="0" w:tplc="2488FA18">
      <w:start w:val="1"/>
      <w:numFmt w:val="decimal"/>
      <w:lvlText w:val="%1."/>
      <w:lvlJc w:val="left"/>
      <w:pPr>
        <w:ind w:left="360" w:firstLine="0"/>
      </w:pPr>
    </w:lvl>
    <w:lvl w:ilvl="1" w:tplc="1D06B152">
      <w:start w:val="1"/>
      <w:numFmt w:val="lowerLetter"/>
      <w:lvlText w:val="%2."/>
      <w:lvlJc w:val="left"/>
      <w:pPr>
        <w:ind w:left="1080" w:firstLine="0"/>
      </w:pPr>
    </w:lvl>
    <w:lvl w:ilvl="2" w:tplc="0408F8E6">
      <w:start w:val="1"/>
      <w:numFmt w:val="lowerRoman"/>
      <w:lvlText w:val="%3."/>
      <w:lvlJc w:val="left"/>
      <w:pPr>
        <w:ind w:left="1980" w:firstLine="0"/>
      </w:pPr>
    </w:lvl>
    <w:lvl w:ilvl="3" w:tplc="28444286">
      <w:start w:val="1"/>
      <w:numFmt w:val="decimal"/>
      <w:lvlText w:val="%4."/>
      <w:lvlJc w:val="left"/>
      <w:pPr>
        <w:ind w:left="2520" w:firstLine="0"/>
      </w:pPr>
    </w:lvl>
    <w:lvl w:ilvl="4" w:tplc="65E8ECBA">
      <w:start w:val="1"/>
      <w:numFmt w:val="lowerLetter"/>
      <w:lvlText w:val="%5."/>
      <w:lvlJc w:val="left"/>
      <w:pPr>
        <w:ind w:left="3240" w:firstLine="0"/>
      </w:pPr>
    </w:lvl>
    <w:lvl w:ilvl="5" w:tplc="353A59EA">
      <w:start w:val="1"/>
      <w:numFmt w:val="lowerRoman"/>
      <w:lvlText w:val="%6."/>
      <w:lvlJc w:val="left"/>
      <w:pPr>
        <w:ind w:left="4140" w:firstLine="0"/>
      </w:pPr>
    </w:lvl>
    <w:lvl w:ilvl="6" w:tplc="FCDABBE0">
      <w:start w:val="1"/>
      <w:numFmt w:val="decimal"/>
      <w:lvlText w:val="%7."/>
      <w:lvlJc w:val="left"/>
      <w:pPr>
        <w:ind w:left="4680" w:firstLine="0"/>
      </w:pPr>
    </w:lvl>
    <w:lvl w:ilvl="7" w:tplc="27427FC6">
      <w:start w:val="1"/>
      <w:numFmt w:val="lowerLetter"/>
      <w:lvlText w:val="%8."/>
      <w:lvlJc w:val="left"/>
      <w:pPr>
        <w:ind w:left="5400" w:firstLine="0"/>
      </w:pPr>
    </w:lvl>
    <w:lvl w:ilvl="8" w:tplc="576C5ED0">
      <w:start w:val="1"/>
      <w:numFmt w:val="lowerRoman"/>
      <w:lvlText w:val="%9."/>
      <w:lvlJc w:val="left"/>
      <w:pPr>
        <w:ind w:left="6300" w:firstLine="0"/>
      </w:pPr>
    </w:lvl>
  </w:abstractNum>
  <w:abstractNum w:abstractNumId="15" w15:restartNumberingAfterBreak="0">
    <w:nsid w:val="47B00028"/>
    <w:multiLevelType w:val="hybridMultilevel"/>
    <w:tmpl w:val="5B4A7BBC"/>
    <w:name w:val="Нумерованный список 7"/>
    <w:lvl w:ilvl="0" w:tplc="76040A6E">
      <w:numFmt w:val="bullet"/>
      <w:lvlText w:val=""/>
      <w:lvlJc w:val="left"/>
      <w:pPr>
        <w:ind w:left="360" w:firstLine="0"/>
      </w:pPr>
      <w:rPr>
        <w:rFonts w:ascii="Symbol" w:hAnsi="Symbol"/>
        <w:sz w:val="20"/>
      </w:rPr>
    </w:lvl>
    <w:lvl w:ilvl="1" w:tplc="6B749A18">
      <w:start w:val="1"/>
      <w:numFmt w:val="decimal"/>
      <w:lvlText w:val="%2."/>
      <w:lvlJc w:val="left"/>
      <w:pPr>
        <w:ind w:left="1080" w:firstLine="0"/>
      </w:pPr>
    </w:lvl>
    <w:lvl w:ilvl="2" w:tplc="00063174">
      <w:start w:val="1"/>
      <w:numFmt w:val="decimal"/>
      <w:lvlText w:val="%3."/>
      <w:lvlJc w:val="left"/>
      <w:pPr>
        <w:ind w:left="1800" w:firstLine="0"/>
      </w:pPr>
    </w:lvl>
    <w:lvl w:ilvl="3" w:tplc="754ECB7C">
      <w:start w:val="1"/>
      <w:numFmt w:val="decimal"/>
      <w:lvlText w:val="%4."/>
      <w:lvlJc w:val="left"/>
      <w:pPr>
        <w:ind w:left="2520" w:firstLine="0"/>
      </w:pPr>
    </w:lvl>
    <w:lvl w:ilvl="4" w:tplc="CECAD0D4">
      <w:start w:val="1"/>
      <w:numFmt w:val="decimal"/>
      <w:lvlText w:val="%5."/>
      <w:lvlJc w:val="left"/>
      <w:pPr>
        <w:ind w:left="3240" w:firstLine="0"/>
      </w:pPr>
    </w:lvl>
    <w:lvl w:ilvl="5" w:tplc="ED2E7B66">
      <w:start w:val="1"/>
      <w:numFmt w:val="decimal"/>
      <w:lvlText w:val="%6."/>
      <w:lvlJc w:val="left"/>
      <w:pPr>
        <w:ind w:left="3960" w:firstLine="0"/>
      </w:pPr>
    </w:lvl>
    <w:lvl w:ilvl="6" w:tplc="89005CDE">
      <w:start w:val="1"/>
      <w:numFmt w:val="decimal"/>
      <w:lvlText w:val="%7."/>
      <w:lvlJc w:val="left"/>
      <w:pPr>
        <w:ind w:left="4680" w:firstLine="0"/>
      </w:pPr>
    </w:lvl>
    <w:lvl w:ilvl="7" w:tplc="368875C6">
      <w:start w:val="1"/>
      <w:numFmt w:val="decimal"/>
      <w:lvlText w:val="%8."/>
      <w:lvlJc w:val="left"/>
      <w:pPr>
        <w:ind w:left="5400" w:firstLine="0"/>
      </w:pPr>
    </w:lvl>
    <w:lvl w:ilvl="8" w:tplc="8D72F74A">
      <w:start w:val="1"/>
      <w:numFmt w:val="decimal"/>
      <w:lvlText w:val="%9."/>
      <w:lvlJc w:val="left"/>
      <w:pPr>
        <w:ind w:left="6120" w:firstLine="0"/>
      </w:pPr>
    </w:lvl>
  </w:abstractNum>
  <w:abstractNum w:abstractNumId="16" w15:restartNumberingAfterBreak="0">
    <w:nsid w:val="4817702A"/>
    <w:multiLevelType w:val="hybridMultilevel"/>
    <w:tmpl w:val="758E4F46"/>
    <w:name w:val="Нумерованный список 20"/>
    <w:lvl w:ilvl="0" w:tplc="B5CCE458">
      <w:numFmt w:val="bullet"/>
      <w:lvlText w:val=""/>
      <w:lvlJc w:val="left"/>
      <w:pPr>
        <w:ind w:left="360" w:firstLine="0"/>
      </w:pPr>
      <w:rPr>
        <w:rFonts w:ascii="Symbol" w:hAnsi="Symbol"/>
        <w:sz w:val="20"/>
      </w:rPr>
    </w:lvl>
    <w:lvl w:ilvl="1" w:tplc="992255AE">
      <w:start w:val="1"/>
      <w:numFmt w:val="decimal"/>
      <w:lvlText w:val="%2."/>
      <w:lvlJc w:val="left"/>
      <w:pPr>
        <w:ind w:left="1080" w:firstLine="0"/>
      </w:pPr>
    </w:lvl>
    <w:lvl w:ilvl="2" w:tplc="513A7774">
      <w:start w:val="1"/>
      <w:numFmt w:val="decimal"/>
      <w:lvlText w:val="%3."/>
      <w:lvlJc w:val="left"/>
      <w:pPr>
        <w:ind w:left="1800" w:firstLine="0"/>
      </w:pPr>
    </w:lvl>
    <w:lvl w:ilvl="3" w:tplc="0DA86550">
      <w:start w:val="1"/>
      <w:numFmt w:val="decimal"/>
      <w:lvlText w:val="%4."/>
      <w:lvlJc w:val="left"/>
      <w:pPr>
        <w:ind w:left="2520" w:firstLine="0"/>
      </w:pPr>
    </w:lvl>
    <w:lvl w:ilvl="4" w:tplc="1040AE74">
      <w:start w:val="1"/>
      <w:numFmt w:val="decimal"/>
      <w:lvlText w:val="%5."/>
      <w:lvlJc w:val="left"/>
      <w:pPr>
        <w:ind w:left="3240" w:firstLine="0"/>
      </w:pPr>
    </w:lvl>
    <w:lvl w:ilvl="5" w:tplc="1FAEA568">
      <w:start w:val="1"/>
      <w:numFmt w:val="decimal"/>
      <w:lvlText w:val="%6."/>
      <w:lvlJc w:val="left"/>
      <w:pPr>
        <w:ind w:left="3960" w:firstLine="0"/>
      </w:pPr>
    </w:lvl>
    <w:lvl w:ilvl="6" w:tplc="EE9A143C">
      <w:start w:val="1"/>
      <w:numFmt w:val="decimal"/>
      <w:lvlText w:val="%7."/>
      <w:lvlJc w:val="left"/>
      <w:pPr>
        <w:ind w:left="4680" w:firstLine="0"/>
      </w:pPr>
    </w:lvl>
    <w:lvl w:ilvl="7" w:tplc="A6ACBC88">
      <w:start w:val="1"/>
      <w:numFmt w:val="decimal"/>
      <w:lvlText w:val="%8."/>
      <w:lvlJc w:val="left"/>
      <w:pPr>
        <w:ind w:left="5400" w:firstLine="0"/>
      </w:pPr>
    </w:lvl>
    <w:lvl w:ilvl="8" w:tplc="44980A7A">
      <w:start w:val="1"/>
      <w:numFmt w:val="decimal"/>
      <w:lvlText w:val="%9."/>
      <w:lvlJc w:val="left"/>
      <w:pPr>
        <w:ind w:left="6120" w:firstLine="0"/>
      </w:pPr>
    </w:lvl>
  </w:abstractNum>
  <w:abstractNum w:abstractNumId="17" w15:restartNumberingAfterBreak="0">
    <w:nsid w:val="4FD14E1E"/>
    <w:multiLevelType w:val="hybridMultilevel"/>
    <w:tmpl w:val="3E6C2728"/>
    <w:name w:val="Нумерованный список 13"/>
    <w:lvl w:ilvl="0" w:tplc="9EE89968">
      <w:numFmt w:val="bullet"/>
      <w:lvlText w:val=""/>
      <w:lvlJc w:val="left"/>
      <w:pPr>
        <w:ind w:left="360" w:firstLine="0"/>
      </w:pPr>
      <w:rPr>
        <w:rFonts w:ascii="Symbol" w:hAnsi="Symbol"/>
        <w:sz w:val="20"/>
      </w:rPr>
    </w:lvl>
    <w:lvl w:ilvl="1" w:tplc="905ED626">
      <w:start w:val="1"/>
      <w:numFmt w:val="decimal"/>
      <w:lvlText w:val="%2."/>
      <w:lvlJc w:val="left"/>
      <w:pPr>
        <w:ind w:left="1080" w:firstLine="0"/>
      </w:pPr>
    </w:lvl>
    <w:lvl w:ilvl="2" w:tplc="1F9035AC">
      <w:start w:val="1"/>
      <w:numFmt w:val="decimal"/>
      <w:lvlText w:val="%3."/>
      <w:lvlJc w:val="left"/>
      <w:pPr>
        <w:ind w:left="1800" w:firstLine="0"/>
      </w:pPr>
    </w:lvl>
    <w:lvl w:ilvl="3" w:tplc="948E9644">
      <w:start w:val="1"/>
      <w:numFmt w:val="decimal"/>
      <w:lvlText w:val="%4."/>
      <w:lvlJc w:val="left"/>
      <w:pPr>
        <w:ind w:left="2520" w:firstLine="0"/>
      </w:pPr>
    </w:lvl>
    <w:lvl w:ilvl="4" w:tplc="35C4F63C">
      <w:start w:val="1"/>
      <w:numFmt w:val="decimal"/>
      <w:lvlText w:val="%5."/>
      <w:lvlJc w:val="left"/>
      <w:pPr>
        <w:ind w:left="3240" w:firstLine="0"/>
      </w:pPr>
    </w:lvl>
    <w:lvl w:ilvl="5" w:tplc="F418D38E">
      <w:start w:val="1"/>
      <w:numFmt w:val="decimal"/>
      <w:lvlText w:val="%6."/>
      <w:lvlJc w:val="left"/>
      <w:pPr>
        <w:ind w:left="3960" w:firstLine="0"/>
      </w:pPr>
    </w:lvl>
    <w:lvl w:ilvl="6" w:tplc="737CE3F6">
      <w:start w:val="1"/>
      <w:numFmt w:val="decimal"/>
      <w:lvlText w:val="%7."/>
      <w:lvlJc w:val="left"/>
      <w:pPr>
        <w:ind w:left="4680" w:firstLine="0"/>
      </w:pPr>
    </w:lvl>
    <w:lvl w:ilvl="7" w:tplc="F49C98EA">
      <w:start w:val="1"/>
      <w:numFmt w:val="decimal"/>
      <w:lvlText w:val="%8."/>
      <w:lvlJc w:val="left"/>
      <w:pPr>
        <w:ind w:left="5400" w:firstLine="0"/>
      </w:pPr>
    </w:lvl>
    <w:lvl w:ilvl="8" w:tplc="C21404C2">
      <w:start w:val="1"/>
      <w:numFmt w:val="decimal"/>
      <w:lvlText w:val="%9."/>
      <w:lvlJc w:val="left"/>
      <w:pPr>
        <w:ind w:left="6120" w:firstLine="0"/>
      </w:pPr>
    </w:lvl>
  </w:abstractNum>
  <w:abstractNum w:abstractNumId="18" w15:restartNumberingAfterBreak="0">
    <w:nsid w:val="57FE04E0"/>
    <w:multiLevelType w:val="hybridMultilevel"/>
    <w:tmpl w:val="742AF966"/>
    <w:name w:val="Нумерованный список 24"/>
    <w:lvl w:ilvl="0" w:tplc="41A4BA26">
      <w:start w:val="1"/>
      <w:numFmt w:val="decimal"/>
      <w:lvlText w:val="%1."/>
      <w:lvlJc w:val="left"/>
      <w:pPr>
        <w:ind w:left="360" w:firstLine="0"/>
      </w:pPr>
      <w:rPr>
        <w:b w:val="0"/>
      </w:rPr>
    </w:lvl>
    <w:lvl w:ilvl="1" w:tplc="FB70AD84">
      <w:start w:val="1"/>
      <w:numFmt w:val="decimal"/>
      <w:lvlText w:val="%2."/>
      <w:lvlJc w:val="left"/>
      <w:pPr>
        <w:ind w:left="1080" w:firstLine="0"/>
      </w:pPr>
    </w:lvl>
    <w:lvl w:ilvl="2" w:tplc="19321BF4">
      <w:start w:val="1"/>
      <w:numFmt w:val="decimal"/>
      <w:lvlText w:val="%3."/>
      <w:lvlJc w:val="left"/>
      <w:pPr>
        <w:ind w:left="1800" w:firstLine="0"/>
      </w:pPr>
    </w:lvl>
    <w:lvl w:ilvl="3" w:tplc="A71C461C">
      <w:start w:val="1"/>
      <w:numFmt w:val="decimal"/>
      <w:lvlText w:val="%4."/>
      <w:lvlJc w:val="left"/>
      <w:pPr>
        <w:ind w:left="2520" w:firstLine="0"/>
      </w:pPr>
    </w:lvl>
    <w:lvl w:ilvl="4" w:tplc="2940F13A">
      <w:start w:val="1"/>
      <w:numFmt w:val="decimal"/>
      <w:lvlText w:val="%5."/>
      <w:lvlJc w:val="left"/>
      <w:pPr>
        <w:ind w:left="3240" w:firstLine="0"/>
      </w:pPr>
    </w:lvl>
    <w:lvl w:ilvl="5" w:tplc="F2E87080">
      <w:start w:val="1"/>
      <w:numFmt w:val="decimal"/>
      <w:lvlText w:val="%6."/>
      <w:lvlJc w:val="left"/>
      <w:pPr>
        <w:ind w:left="3960" w:firstLine="0"/>
      </w:pPr>
    </w:lvl>
    <w:lvl w:ilvl="6" w:tplc="7D523804">
      <w:start w:val="1"/>
      <w:numFmt w:val="decimal"/>
      <w:lvlText w:val="%7."/>
      <w:lvlJc w:val="left"/>
      <w:pPr>
        <w:ind w:left="4680" w:firstLine="0"/>
      </w:pPr>
    </w:lvl>
    <w:lvl w:ilvl="7" w:tplc="54F217CE">
      <w:start w:val="1"/>
      <w:numFmt w:val="decimal"/>
      <w:lvlText w:val="%8."/>
      <w:lvlJc w:val="left"/>
      <w:pPr>
        <w:ind w:left="5400" w:firstLine="0"/>
      </w:pPr>
    </w:lvl>
    <w:lvl w:ilvl="8" w:tplc="A976A4BC">
      <w:start w:val="1"/>
      <w:numFmt w:val="decimal"/>
      <w:lvlText w:val="%9."/>
      <w:lvlJc w:val="left"/>
      <w:pPr>
        <w:ind w:left="6120" w:firstLine="0"/>
      </w:pPr>
    </w:lvl>
  </w:abstractNum>
  <w:abstractNum w:abstractNumId="19" w15:restartNumberingAfterBreak="0">
    <w:nsid w:val="6658126D"/>
    <w:multiLevelType w:val="hybridMultilevel"/>
    <w:tmpl w:val="1DC8ECAC"/>
    <w:name w:val="Нумерованный список 14"/>
    <w:lvl w:ilvl="0" w:tplc="13DC3332">
      <w:numFmt w:val="bullet"/>
      <w:lvlText w:val=""/>
      <w:lvlJc w:val="left"/>
      <w:pPr>
        <w:ind w:left="360" w:firstLine="0"/>
      </w:pPr>
      <w:rPr>
        <w:rFonts w:ascii="Symbol" w:hAnsi="Symbol"/>
        <w:sz w:val="20"/>
      </w:rPr>
    </w:lvl>
    <w:lvl w:ilvl="1" w:tplc="754A1BBE">
      <w:start w:val="1"/>
      <w:numFmt w:val="decimal"/>
      <w:lvlText w:val="%2."/>
      <w:lvlJc w:val="left"/>
      <w:pPr>
        <w:ind w:left="1080" w:firstLine="0"/>
      </w:pPr>
    </w:lvl>
    <w:lvl w:ilvl="2" w:tplc="CC7AFBC2">
      <w:start w:val="1"/>
      <w:numFmt w:val="decimal"/>
      <w:lvlText w:val="%3."/>
      <w:lvlJc w:val="left"/>
      <w:pPr>
        <w:ind w:left="1800" w:firstLine="0"/>
      </w:pPr>
    </w:lvl>
    <w:lvl w:ilvl="3" w:tplc="DAA0BEFA">
      <w:start w:val="1"/>
      <w:numFmt w:val="decimal"/>
      <w:lvlText w:val="%4."/>
      <w:lvlJc w:val="left"/>
      <w:pPr>
        <w:ind w:left="2520" w:firstLine="0"/>
      </w:pPr>
    </w:lvl>
    <w:lvl w:ilvl="4" w:tplc="FE5A6430">
      <w:start w:val="1"/>
      <w:numFmt w:val="decimal"/>
      <w:lvlText w:val="%5."/>
      <w:lvlJc w:val="left"/>
      <w:pPr>
        <w:ind w:left="3240" w:firstLine="0"/>
      </w:pPr>
    </w:lvl>
    <w:lvl w:ilvl="5" w:tplc="F22C2974">
      <w:start w:val="1"/>
      <w:numFmt w:val="decimal"/>
      <w:lvlText w:val="%6."/>
      <w:lvlJc w:val="left"/>
      <w:pPr>
        <w:ind w:left="3960" w:firstLine="0"/>
      </w:pPr>
    </w:lvl>
    <w:lvl w:ilvl="6" w:tplc="B1327FF8">
      <w:start w:val="1"/>
      <w:numFmt w:val="decimal"/>
      <w:lvlText w:val="%7."/>
      <w:lvlJc w:val="left"/>
      <w:pPr>
        <w:ind w:left="4680" w:firstLine="0"/>
      </w:pPr>
    </w:lvl>
    <w:lvl w:ilvl="7" w:tplc="C7C0BA32">
      <w:start w:val="1"/>
      <w:numFmt w:val="decimal"/>
      <w:lvlText w:val="%8."/>
      <w:lvlJc w:val="left"/>
      <w:pPr>
        <w:ind w:left="5400" w:firstLine="0"/>
      </w:pPr>
    </w:lvl>
    <w:lvl w:ilvl="8" w:tplc="9F30955E">
      <w:start w:val="1"/>
      <w:numFmt w:val="decimal"/>
      <w:lvlText w:val="%9."/>
      <w:lvlJc w:val="left"/>
      <w:pPr>
        <w:ind w:left="6120" w:firstLine="0"/>
      </w:pPr>
    </w:lvl>
  </w:abstractNum>
  <w:abstractNum w:abstractNumId="20" w15:restartNumberingAfterBreak="0">
    <w:nsid w:val="6B654F09"/>
    <w:multiLevelType w:val="hybridMultilevel"/>
    <w:tmpl w:val="8EB43734"/>
    <w:name w:val="Нумерованный список 9"/>
    <w:lvl w:ilvl="0" w:tplc="40847E12">
      <w:numFmt w:val="bullet"/>
      <w:lvlText w:val=""/>
      <w:lvlJc w:val="left"/>
      <w:pPr>
        <w:ind w:left="360" w:firstLine="0"/>
      </w:pPr>
      <w:rPr>
        <w:rFonts w:ascii="Symbol" w:hAnsi="Symbol"/>
        <w:sz w:val="20"/>
      </w:rPr>
    </w:lvl>
    <w:lvl w:ilvl="1" w:tplc="0C124AD0">
      <w:start w:val="1"/>
      <w:numFmt w:val="decimal"/>
      <w:lvlText w:val="%2."/>
      <w:lvlJc w:val="left"/>
      <w:pPr>
        <w:ind w:left="1080" w:firstLine="0"/>
      </w:pPr>
    </w:lvl>
    <w:lvl w:ilvl="2" w:tplc="80BAD52E">
      <w:start w:val="1"/>
      <w:numFmt w:val="decimal"/>
      <w:lvlText w:val="%3."/>
      <w:lvlJc w:val="left"/>
      <w:pPr>
        <w:ind w:left="1800" w:firstLine="0"/>
      </w:pPr>
    </w:lvl>
    <w:lvl w:ilvl="3" w:tplc="CCBA825A">
      <w:start w:val="1"/>
      <w:numFmt w:val="decimal"/>
      <w:lvlText w:val="%4."/>
      <w:lvlJc w:val="left"/>
      <w:pPr>
        <w:ind w:left="2520" w:firstLine="0"/>
      </w:pPr>
    </w:lvl>
    <w:lvl w:ilvl="4" w:tplc="1FC410E4">
      <w:start w:val="1"/>
      <w:numFmt w:val="decimal"/>
      <w:lvlText w:val="%5."/>
      <w:lvlJc w:val="left"/>
      <w:pPr>
        <w:ind w:left="3240" w:firstLine="0"/>
      </w:pPr>
    </w:lvl>
    <w:lvl w:ilvl="5" w:tplc="665C2C5A">
      <w:start w:val="1"/>
      <w:numFmt w:val="decimal"/>
      <w:lvlText w:val="%6."/>
      <w:lvlJc w:val="left"/>
      <w:pPr>
        <w:ind w:left="3960" w:firstLine="0"/>
      </w:pPr>
    </w:lvl>
    <w:lvl w:ilvl="6" w:tplc="C8AC0E50">
      <w:start w:val="1"/>
      <w:numFmt w:val="decimal"/>
      <w:lvlText w:val="%7."/>
      <w:lvlJc w:val="left"/>
      <w:pPr>
        <w:ind w:left="4680" w:firstLine="0"/>
      </w:pPr>
    </w:lvl>
    <w:lvl w:ilvl="7" w:tplc="94F4CEE2">
      <w:start w:val="1"/>
      <w:numFmt w:val="decimal"/>
      <w:lvlText w:val="%8."/>
      <w:lvlJc w:val="left"/>
      <w:pPr>
        <w:ind w:left="5400" w:firstLine="0"/>
      </w:pPr>
    </w:lvl>
    <w:lvl w:ilvl="8" w:tplc="46360B44">
      <w:start w:val="1"/>
      <w:numFmt w:val="decimal"/>
      <w:lvlText w:val="%9."/>
      <w:lvlJc w:val="left"/>
      <w:pPr>
        <w:ind w:left="6120" w:firstLine="0"/>
      </w:pPr>
    </w:lvl>
  </w:abstractNum>
  <w:abstractNum w:abstractNumId="21" w15:restartNumberingAfterBreak="0">
    <w:nsid w:val="6D837C52"/>
    <w:multiLevelType w:val="hybridMultilevel"/>
    <w:tmpl w:val="3ADA272C"/>
    <w:name w:val="Нумерованный список 15"/>
    <w:lvl w:ilvl="0" w:tplc="40DCB23E">
      <w:numFmt w:val="bullet"/>
      <w:lvlText w:val=""/>
      <w:lvlJc w:val="left"/>
      <w:pPr>
        <w:ind w:left="360" w:firstLine="0"/>
      </w:pPr>
      <w:rPr>
        <w:rFonts w:ascii="Symbol" w:hAnsi="Symbol"/>
        <w:sz w:val="20"/>
      </w:rPr>
    </w:lvl>
    <w:lvl w:ilvl="1" w:tplc="9C7CBCFC">
      <w:start w:val="1"/>
      <w:numFmt w:val="decimal"/>
      <w:lvlText w:val="%2."/>
      <w:lvlJc w:val="left"/>
      <w:pPr>
        <w:ind w:left="1080" w:firstLine="0"/>
      </w:pPr>
    </w:lvl>
    <w:lvl w:ilvl="2" w:tplc="A664BB12">
      <w:start w:val="1"/>
      <w:numFmt w:val="decimal"/>
      <w:lvlText w:val="%3."/>
      <w:lvlJc w:val="left"/>
      <w:pPr>
        <w:ind w:left="1800" w:firstLine="0"/>
      </w:pPr>
    </w:lvl>
    <w:lvl w:ilvl="3" w:tplc="1E1EBE06">
      <w:start w:val="1"/>
      <w:numFmt w:val="decimal"/>
      <w:lvlText w:val="%4."/>
      <w:lvlJc w:val="left"/>
      <w:pPr>
        <w:ind w:left="2520" w:firstLine="0"/>
      </w:pPr>
    </w:lvl>
    <w:lvl w:ilvl="4" w:tplc="6EB45F8A">
      <w:start w:val="1"/>
      <w:numFmt w:val="decimal"/>
      <w:lvlText w:val="%5."/>
      <w:lvlJc w:val="left"/>
      <w:pPr>
        <w:ind w:left="3240" w:firstLine="0"/>
      </w:pPr>
    </w:lvl>
    <w:lvl w:ilvl="5" w:tplc="A072D942">
      <w:start w:val="1"/>
      <w:numFmt w:val="decimal"/>
      <w:lvlText w:val="%6."/>
      <w:lvlJc w:val="left"/>
      <w:pPr>
        <w:ind w:left="3960" w:firstLine="0"/>
      </w:pPr>
    </w:lvl>
    <w:lvl w:ilvl="6" w:tplc="6666D014">
      <w:start w:val="1"/>
      <w:numFmt w:val="decimal"/>
      <w:lvlText w:val="%7."/>
      <w:lvlJc w:val="left"/>
      <w:pPr>
        <w:ind w:left="4680" w:firstLine="0"/>
      </w:pPr>
    </w:lvl>
    <w:lvl w:ilvl="7" w:tplc="409CFA68">
      <w:start w:val="1"/>
      <w:numFmt w:val="decimal"/>
      <w:lvlText w:val="%8."/>
      <w:lvlJc w:val="left"/>
      <w:pPr>
        <w:ind w:left="5400" w:firstLine="0"/>
      </w:pPr>
    </w:lvl>
    <w:lvl w:ilvl="8" w:tplc="063A286C">
      <w:start w:val="1"/>
      <w:numFmt w:val="decimal"/>
      <w:lvlText w:val="%9."/>
      <w:lvlJc w:val="left"/>
      <w:pPr>
        <w:ind w:left="6120" w:firstLine="0"/>
      </w:pPr>
    </w:lvl>
  </w:abstractNum>
  <w:abstractNum w:abstractNumId="22" w15:restartNumberingAfterBreak="0">
    <w:nsid w:val="6F97543E"/>
    <w:multiLevelType w:val="hybridMultilevel"/>
    <w:tmpl w:val="514072AE"/>
    <w:name w:val="Нумерованный список 4"/>
    <w:lvl w:ilvl="0" w:tplc="DDE8AB34">
      <w:numFmt w:val="bullet"/>
      <w:lvlText w:val=""/>
      <w:lvlJc w:val="left"/>
      <w:pPr>
        <w:ind w:left="360" w:firstLine="0"/>
      </w:pPr>
      <w:rPr>
        <w:rFonts w:ascii="Symbol" w:hAnsi="Symbol"/>
        <w:sz w:val="20"/>
      </w:rPr>
    </w:lvl>
    <w:lvl w:ilvl="1" w:tplc="8B747C66">
      <w:start w:val="1"/>
      <w:numFmt w:val="decimal"/>
      <w:lvlText w:val="%2."/>
      <w:lvlJc w:val="left"/>
      <w:pPr>
        <w:ind w:left="1080" w:firstLine="0"/>
      </w:pPr>
    </w:lvl>
    <w:lvl w:ilvl="2" w:tplc="ECB479E0">
      <w:start w:val="1"/>
      <w:numFmt w:val="decimal"/>
      <w:lvlText w:val="%3."/>
      <w:lvlJc w:val="left"/>
      <w:pPr>
        <w:ind w:left="1800" w:firstLine="0"/>
      </w:pPr>
    </w:lvl>
    <w:lvl w:ilvl="3" w:tplc="268632AE">
      <w:start w:val="1"/>
      <w:numFmt w:val="decimal"/>
      <w:lvlText w:val="%4."/>
      <w:lvlJc w:val="left"/>
      <w:pPr>
        <w:ind w:left="2520" w:firstLine="0"/>
      </w:pPr>
    </w:lvl>
    <w:lvl w:ilvl="4" w:tplc="B608FEDE">
      <w:start w:val="1"/>
      <w:numFmt w:val="decimal"/>
      <w:lvlText w:val="%5."/>
      <w:lvlJc w:val="left"/>
      <w:pPr>
        <w:ind w:left="3240" w:firstLine="0"/>
      </w:pPr>
    </w:lvl>
    <w:lvl w:ilvl="5" w:tplc="1A3E0626">
      <w:start w:val="1"/>
      <w:numFmt w:val="decimal"/>
      <w:lvlText w:val="%6."/>
      <w:lvlJc w:val="left"/>
      <w:pPr>
        <w:ind w:left="3960" w:firstLine="0"/>
      </w:pPr>
    </w:lvl>
    <w:lvl w:ilvl="6" w:tplc="5AC25E6E">
      <w:start w:val="1"/>
      <w:numFmt w:val="decimal"/>
      <w:lvlText w:val="%7."/>
      <w:lvlJc w:val="left"/>
      <w:pPr>
        <w:ind w:left="4680" w:firstLine="0"/>
      </w:pPr>
    </w:lvl>
    <w:lvl w:ilvl="7" w:tplc="3B662960">
      <w:start w:val="1"/>
      <w:numFmt w:val="decimal"/>
      <w:lvlText w:val="%8."/>
      <w:lvlJc w:val="left"/>
      <w:pPr>
        <w:ind w:left="5400" w:firstLine="0"/>
      </w:pPr>
    </w:lvl>
    <w:lvl w:ilvl="8" w:tplc="B7863116">
      <w:start w:val="1"/>
      <w:numFmt w:val="decimal"/>
      <w:lvlText w:val="%9."/>
      <w:lvlJc w:val="left"/>
      <w:pPr>
        <w:ind w:left="6120" w:firstLine="0"/>
      </w:pPr>
    </w:lvl>
  </w:abstractNum>
  <w:abstractNum w:abstractNumId="23" w15:restartNumberingAfterBreak="0">
    <w:nsid w:val="7D0E53AD"/>
    <w:multiLevelType w:val="hybridMultilevel"/>
    <w:tmpl w:val="CF9C4CAA"/>
    <w:name w:val="Нумерованный список 22"/>
    <w:lvl w:ilvl="0" w:tplc="8E7EF3F0">
      <w:numFmt w:val="bullet"/>
      <w:lvlText w:val=""/>
      <w:lvlJc w:val="left"/>
      <w:pPr>
        <w:ind w:left="360" w:firstLine="0"/>
      </w:pPr>
      <w:rPr>
        <w:rFonts w:ascii="Symbol" w:hAnsi="Symbol"/>
        <w:sz w:val="20"/>
      </w:rPr>
    </w:lvl>
    <w:lvl w:ilvl="1" w:tplc="D5EA2038">
      <w:start w:val="1"/>
      <w:numFmt w:val="decimal"/>
      <w:lvlText w:val="%2."/>
      <w:lvlJc w:val="left"/>
      <w:pPr>
        <w:ind w:left="1080" w:firstLine="0"/>
      </w:pPr>
    </w:lvl>
    <w:lvl w:ilvl="2" w:tplc="7D78F32C">
      <w:start w:val="1"/>
      <w:numFmt w:val="decimal"/>
      <w:lvlText w:val="%3."/>
      <w:lvlJc w:val="left"/>
      <w:pPr>
        <w:ind w:left="1800" w:firstLine="0"/>
      </w:pPr>
    </w:lvl>
    <w:lvl w:ilvl="3" w:tplc="797AC676">
      <w:start w:val="1"/>
      <w:numFmt w:val="decimal"/>
      <w:lvlText w:val="%4."/>
      <w:lvlJc w:val="left"/>
      <w:pPr>
        <w:ind w:left="2520" w:firstLine="0"/>
      </w:pPr>
    </w:lvl>
    <w:lvl w:ilvl="4" w:tplc="429CCA16">
      <w:start w:val="1"/>
      <w:numFmt w:val="decimal"/>
      <w:lvlText w:val="%5."/>
      <w:lvlJc w:val="left"/>
      <w:pPr>
        <w:ind w:left="3240" w:firstLine="0"/>
      </w:pPr>
    </w:lvl>
    <w:lvl w:ilvl="5" w:tplc="6876E53C">
      <w:start w:val="1"/>
      <w:numFmt w:val="decimal"/>
      <w:lvlText w:val="%6."/>
      <w:lvlJc w:val="left"/>
      <w:pPr>
        <w:ind w:left="3960" w:firstLine="0"/>
      </w:pPr>
    </w:lvl>
    <w:lvl w:ilvl="6" w:tplc="D2DCD984">
      <w:start w:val="1"/>
      <w:numFmt w:val="decimal"/>
      <w:lvlText w:val="%7."/>
      <w:lvlJc w:val="left"/>
      <w:pPr>
        <w:ind w:left="4680" w:firstLine="0"/>
      </w:pPr>
    </w:lvl>
    <w:lvl w:ilvl="7" w:tplc="3F449536">
      <w:start w:val="1"/>
      <w:numFmt w:val="decimal"/>
      <w:lvlText w:val="%8."/>
      <w:lvlJc w:val="left"/>
      <w:pPr>
        <w:ind w:left="5400" w:firstLine="0"/>
      </w:pPr>
    </w:lvl>
    <w:lvl w:ilvl="8" w:tplc="D0FCDDAE">
      <w:start w:val="1"/>
      <w:numFmt w:val="decimal"/>
      <w:lvlText w:val="%9."/>
      <w:lvlJc w:val="left"/>
      <w:pPr>
        <w:ind w:left="6120" w:firstLine="0"/>
      </w:pPr>
    </w:lvl>
  </w:abstractNum>
  <w:abstractNum w:abstractNumId="24" w15:restartNumberingAfterBreak="0">
    <w:nsid w:val="7E3223EF"/>
    <w:multiLevelType w:val="hybridMultilevel"/>
    <w:tmpl w:val="886C3904"/>
    <w:name w:val="Нумерованный список 12"/>
    <w:lvl w:ilvl="0" w:tplc="D4D47526">
      <w:numFmt w:val="bullet"/>
      <w:lvlText w:val=""/>
      <w:lvlJc w:val="left"/>
      <w:pPr>
        <w:ind w:left="360" w:firstLine="0"/>
      </w:pPr>
      <w:rPr>
        <w:rFonts w:ascii="Symbol" w:hAnsi="Symbol"/>
        <w:sz w:val="20"/>
      </w:rPr>
    </w:lvl>
    <w:lvl w:ilvl="1" w:tplc="9760C8C2">
      <w:start w:val="1"/>
      <w:numFmt w:val="decimal"/>
      <w:lvlText w:val="%2."/>
      <w:lvlJc w:val="left"/>
      <w:pPr>
        <w:ind w:left="1080" w:firstLine="0"/>
      </w:pPr>
    </w:lvl>
    <w:lvl w:ilvl="2" w:tplc="62888B82">
      <w:start w:val="1"/>
      <w:numFmt w:val="decimal"/>
      <w:lvlText w:val="%3."/>
      <w:lvlJc w:val="left"/>
      <w:pPr>
        <w:ind w:left="1800" w:firstLine="0"/>
      </w:pPr>
    </w:lvl>
    <w:lvl w:ilvl="3" w:tplc="7AC8C1BA">
      <w:start w:val="1"/>
      <w:numFmt w:val="decimal"/>
      <w:lvlText w:val="%4."/>
      <w:lvlJc w:val="left"/>
      <w:pPr>
        <w:ind w:left="2520" w:firstLine="0"/>
      </w:pPr>
    </w:lvl>
    <w:lvl w:ilvl="4" w:tplc="78F00122">
      <w:start w:val="1"/>
      <w:numFmt w:val="decimal"/>
      <w:lvlText w:val="%5."/>
      <w:lvlJc w:val="left"/>
      <w:pPr>
        <w:ind w:left="3240" w:firstLine="0"/>
      </w:pPr>
    </w:lvl>
    <w:lvl w:ilvl="5" w:tplc="F19EF974">
      <w:start w:val="1"/>
      <w:numFmt w:val="decimal"/>
      <w:lvlText w:val="%6."/>
      <w:lvlJc w:val="left"/>
      <w:pPr>
        <w:ind w:left="3960" w:firstLine="0"/>
      </w:pPr>
    </w:lvl>
    <w:lvl w:ilvl="6" w:tplc="7630A374">
      <w:start w:val="1"/>
      <w:numFmt w:val="decimal"/>
      <w:lvlText w:val="%7."/>
      <w:lvlJc w:val="left"/>
      <w:pPr>
        <w:ind w:left="4680" w:firstLine="0"/>
      </w:pPr>
    </w:lvl>
    <w:lvl w:ilvl="7" w:tplc="055CE04E">
      <w:start w:val="1"/>
      <w:numFmt w:val="decimal"/>
      <w:lvlText w:val="%8."/>
      <w:lvlJc w:val="left"/>
      <w:pPr>
        <w:ind w:left="5400" w:firstLine="0"/>
      </w:pPr>
    </w:lvl>
    <w:lvl w:ilvl="8" w:tplc="8C7E55CA">
      <w:start w:val="1"/>
      <w:numFmt w:val="decimal"/>
      <w:lvlText w:val="%9."/>
      <w:lvlJc w:val="left"/>
      <w:pPr>
        <w:ind w:left="6120" w:firstLine="0"/>
      </w:pPr>
    </w:lvl>
  </w:abstractNum>
  <w:abstractNum w:abstractNumId="25" w15:restartNumberingAfterBreak="0">
    <w:nsid w:val="7FC16A8E"/>
    <w:multiLevelType w:val="hybridMultilevel"/>
    <w:tmpl w:val="3FE6C194"/>
    <w:name w:val="Нумерованный список 17"/>
    <w:lvl w:ilvl="0" w:tplc="F3E4F228">
      <w:numFmt w:val="bullet"/>
      <w:lvlText w:val=""/>
      <w:lvlJc w:val="left"/>
      <w:pPr>
        <w:ind w:left="360" w:firstLine="0"/>
      </w:pPr>
      <w:rPr>
        <w:rFonts w:ascii="Symbol" w:hAnsi="Symbol"/>
        <w:sz w:val="20"/>
      </w:rPr>
    </w:lvl>
    <w:lvl w:ilvl="1" w:tplc="8744E13A">
      <w:start w:val="1"/>
      <w:numFmt w:val="decimal"/>
      <w:lvlText w:val="%2."/>
      <w:lvlJc w:val="left"/>
      <w:pPr>
        <w:ind w:left="1080" w:firstLine="0"/>
      </w:pPr>
    </w:lvl>
    <w:lvl w:ilvl="2" w:tplc="3232198C">
      <w:start w:val="1"/>
      <w:numFmt w:val="decimal"/>
      <w:lvlText w:val="%3."/>
      <w:lvlJc w:val="left"/>
      <w:pPr>
        <w:ind w:left="1800" w:firstLine="0"/>
      </w:pPr>
    </w:lvl>
    <w:lvl w:ilvl="3" w:tplc="6F14C874">
      <w:start w:val="1"/>
      <w:numFmt w:val="decimal"/>
      <w:lvlText w:val="%4."/>
      <w:lvlJc w:val="left"/>
      <w:pPr>
        <w:ind w:left="2520" w:firstLine="0"/>
      </w:pPr>
    </w:lvl>
    <w:lvl w:ilvl="4" w:tplc="83F61D88">
      <w:start w:val="1"/>
      <w:numFmt w:val="decimal"/>
      <w:lvlText w:val="%5."/>
      <w:lvlJc w:val="left"/>
      <w:pPr>
        <w:ind w:left="3240" w:firstLine="0"/>
      </w:pPr>
    </w:lvl>
    <w:lvl w:ilvl="5" w:tplc="44B8BD52">
      <w:start w:val="1"/>
      <w:numFmt w:val="decimal"/>
      <w:lvlText w:val="%6."/>
      <w:lvlJc w:val="left"/>
      <w:pPr>
        <w:ind w:left="3960" w:firstLine="0"/>
      </w:pPr>
    </w:lvl>
    <w:lvl w:ilvl="6" w:tplc="8CB8118E">
      <w:start w:val="1"/>
      <w:numFmt w:val="decimal"/>
      <w:lvlText w:val="%7."/>
      <w:lvlJc w:val="left"/>
      <w:pPr>
        <w:ind w:left="4680" w:firstLine="0"/>
      </w:pPr>
    </w:lvl>
    <w:lvl w:ilvl="7" w:tplc="BFE42B6A">
      <w:start w:val="1"/>
      <w:numFmt w:val="decimal"/>
      <w:lvlText w:val="%8."/>
      <w:lvlJc w:val="left"/>
      <w:pPr>
        <w:ind w:left="5400" w:firstLine="0"/>
      </w:pPr>
    </w:lvl>
    <w:lvl w:ilvl="8" w:tplc="E2744152">
      <w:start w:val="1"/>
      <w:numFmt w:val="decimal"/>
      <w:lvlText w:val="%9."/>
      <w:lvlJc w:val="left"/>
      <w:pPr>
        <w:ind w:left="6120" w:firstLine="0"/>
      </w:pPr>
    </w:lvl>
  </w:abstractNum>
  <w:num w:numId="1">
    <w:abstractNumId w:val="6"/>
  </w:num>
  <w:num w:numId="2">
    <w:abstractNumId w:val="5"/>
  </w:num>
  <w:num w:numId="3">
    <w:abstractNumId w:val="14"/>
  </w:num>
  <w:num w:numId="4">
    <w:abstractNumId w:val="22"/>
  </w:num>
  <w:num w:numId="5">
    <w:abstractNumId w:val="11"/>
  </w:num>
  <w:num w:numId="6">
    <w:abstractNumId w:val="9"/>
  </w:num>
  <w:num w:numId="7">
    <w:abstractNumId w:val="15"/>
  </w:num>
  <w:num w:numId="8">
    <w:abstractNumId w:val="10"/>
  </w:num>
  <w:num w:numId="9">
    <w:abstractNumId w:val="20"/>
  </w:num>
  <w:num w:numId="10">
    <w:abstractNumId w:val="13"/>
  </w:num>
  <w:num w:numId="11">
    <w:abstractNumId w:val="12"/>
  </w:num>
  <w:num w:numId="12">
    <w:abstractNumId w:val="24"/>
  </w:num>
  <w:num w:numId="13">
    <w:abstractNumId w:val="17"/>
  </w:num>
  <w:num w:numId="14">
    <w:abstractNumId w:val="19"/>
  </w:num>
  <w:num w:numId="15">
    <w:abstractNumId w:val="21"/>
  </w:num>
  <w:num w:numId="16">
    <w:abstractNumId w:val="1"/>
  </w:num>
  <w:num w:numId="17">
    <w:abstractNumId w:val="25"/>
  </w:num>
  <w:num w:numId="18">
    <w:abstractNumId w:val="4"/>
  </w:num>
  <w:num w:numId="19">
    <w:abstractNumId w:val="7"/>
  </w:num>
  <w:num w:numId="20">
    <w:abstractNumId w:val="16"/>
  </w:num>
  <w:num w:numId="21">
    <w:abstractNumId w:val="3"/>
  </w:num>
  <w:num w:numId="22">
    <w:abstractNumId w:val="23"/>
  </w:num>
  <w:num w:numId="23">
    <w:abstractNumId w:val="0"/>
  </w:num>
  <w:num w:numId="24">
    <w:abstractNumId w:val="18"/>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35"/>
    <w:rsid w:val="002B7744"/>
    <w:rsid w:val="009A3E1B"/>
    <w:rsid w:val="00CB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79D1"/>
  <w15:docId w15:val="{C46E2A7B-1DE5-42CF-B1E1-873907F5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0"/>
      <w:outlineLvl w:val="0"/>
    </w:pPr>
    <w:rPr>
      <w:rFonts w:ascii="Cambria" w:eastAsia="Cambria" w:hAnsi="Cambria"/>
      <w:b/>
      <w:bCs/>
      <w:color w:val="365F91"/>
      <w:sz w:val="28"/>
      <w:szCs w:val="28"/>
    </w:rPr>
  </w:style>
  <w:style w:type="paragraph" w:styleId="2">
    <w:name w:val="heading 2"/>
    <w:basedOn w:val="a"/>
    <w:qFormat/>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qFormat/>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hAnsi="Times New Roman"/>
      <w:sz w:val="24"/>
      <w:szCs w:val="24"/>
    </w:rPr>
  </w:style>
  <w:style w:type="paragraph" w:customStyle="1" w:styleId="incut-v4title">
    <w:name w:val="incut-v4__title"/>
    <w:basedOn w:val="a"/>
    <w:qFormat/>
    <w:pPr>
      <w:spacing w:before="100" w:beforeAutospacing="1" w:after="100" w:afterAutospacing="1" w:line="240" w:lineRule="auto"/>
    </w:pPr>
    <w:rPr>
      <w:rFonts w:ascii="Times New Roman" w:hAnsi="Times New Roman"/>
      <w:sz w:val="24"/>
      <w:szCs w:val="24"/>
    </w:rPr>
  </w:style>
  <w:style w:type="paragraph" w:styleId="a4">
    <w:name w:val="footnote text"/>
    <w:basedOn w:val="a"/>
    <w:qFormat/>
    <w:pPr>
      <w:spacing w:after="0" w:line="240" w:lineRule="auto"/>
    </w:pPr>
    <w:rPr>
      <w:sz w:val="20"/>
      <w:szCs w:val="20"/>
    </w:rPr>
  </w:style>
  <w:style w:type="paragraph" w:customStyle="1" w:styleId="10">
    <w:name w:val="Основной текст1"/>
    <w:basedOn w:val="a"/>
    <w:qFormat/>
    <w:pPr>
      <w:pBdr>
        <w:top w:val="nil"/>
        <w:left w:val="nil"/>
        <w:bottom w:val="nil"/>
        <w:right w:val="nil"/>
        <w:between w:val="nil"/>
      </w:pBdr>
      <w:shd w:val="solid" w:color="FFFFFF" w:fill="auto"/>
      <w:spacing w:after="0" w:line="206" w:lineRule="exact"/>
      <w:jc w:val="center"/>
    </w:pPr>
    <w:rPr>
      <w:rFonts w:ascii="Arial" w:eastAsia="Arial" w:hAnsi="Arial" w:cs="Arial"/>
      <w:sz w:val="16"/>
      <w:szCs w:val="16"/>
    </w:rPr>
  </w:style>
  <w:style w:type="paragraph" w:styleId="a5">
    <w:name w:val="List Paragraph"/>
    <w:basedOn w:val="a"/>
    <w:qFormat/>
    <w:pPr>
      <w:ind w:left="720"/>
      <w:contextualSpacing/>
    </w:pPr>
  </w:style>
  <w:style w:type="paragraph" w:styleId="11">
    <w:name w:val="toc 1"/>
    <w:basedOn w:val="a"/>
    <w:next w:val="a"/>
    <w:qFormat/>
    <w:pPr>
      <w:tabs>
        <w:tab w:val="right" w:leader="dot" w:pos="9345"/>
      </w:tabs>
      <w:spacing w:after="100"/>
      <w:jc w:val="center"/>
    </w:pPr>
    <w:rPr>
      <w:rFonts w:ascii="Times New Roman" w:hAnsi="Times New Roman"/>
      <w:b/>
      <w:sz w:val="28"/>
      <w:szCs w:val="28"/>
    </w:rPr>
  </w:style>
  <w:style w:type="character" w:customStyle="1" w:styleId="20">
    <w:name w:val="Заголовок 2 Знак"/>
    <w:basedOn w:val="a0"/>
    <w:rPr>
      <w:rFonts w:ascii="Times New Roman" w:hAnsi="Times New Roman" w:cs="Times New Roman"/>
      <w:b/>
      <w:bCs/>
      <w:sz w:val="36"/>
      <w:szCs w:val="36"/>
    </w:rPr>
  </w:style>
  <w:style w:type="character" w:customStyle="1" w:styleId="30">
    <w:name w:val="Заголовок 3 Знак"/>
    <w:basedOn w:val="a0"/>
    <w:rPr>
      <w:rFonts w:ascii="Times New Roman" w:hAnsi="Times New Roman" w:cs="Times New Roman"/>
      <w:b/>
      <w:bCs/>
      <w:sz w:val="27"/>
      <w:szCs w:val="27"/>
    </w:rPr>
  </w:style>
  <w:style w:type="character" w:styleId="a6">
    <w:name w:val="Hyperlink"/>
    <w:basedOn w:val="a0"/>
    <w:rPr>
      <w:color w:val="0000FF"/>
      <w:u w:val="single"/>
    </w:rPr>
  </w:style>
  <w:style w:type="character" w:customStyle="1" w:styleId="incut-head-control">
    <w:name w:val="incut-head-control"/>
    <w:basedOn w:val="a0"/>
    <w:rPr>
      <w:rFonts w:ascii="Helvetica" w:hAnsi="Helvetica" w:cs="Helvetica"/>
      <w:b/>
      <w:bCs/>
      <w:sz w:val="21"/>
      <w:szCs w:val="21"/>
    </w:rPr>
  </w:style>
  <w:style w:type="character" w:customStyle="1" w:styleId="btn">
    <w:name w:val="btn"/>
    <w:basedOn w:val="a0"/>
  </w:style>
  <w:style w:type="character" w:customStyle="1" w:styleId="incut-head-sub">
    <w:name w:val="incut-head-sub"/>
    <w:basedOn w:val="a0"/>
  </w:style>
  <w:style w:type="character" w:customStyle="1" w:styleId="a7">
    <w:name w:val="Текст сноски Знак"/>
    <w:basedOn w:val="a0"/>
    <w:rPr>
      <w:sz w:val="20"/>
      <w:szCs w:val="20"/>
    </w:rPr>
  </w:style>
  <w:style w:type="character" w:styleId="a8">
    <w:name w:val="footnote reference"/>
    <w:basedOn w:val="a0"/>
    <w:rPr>
      <w:vertAlign w:val="superscript"/>
    </w:rPr>
  </w:style>
  <w:style w:type="character" w:customStyle="1" w:styleId="12">
    <w:name w:val="Обычный1"/>
    <w:basedOn w:val="a0"/>
  </w:style>
  <w:style w:type="character" w:customStyle="1" w:styleId="plagiat">
    <w:name w:val="plagiat"/>
    <w:basedOn w:val="a0"/>
  </w:style>
  <w:style w:type="character" w:customStyle="1" w:styleId="13">
    <w:name w:val="Заголовок 1 Знак"/>
    <w:basedOn w:val="a0"/>
    <w:rPr>
      <w:rFonts w:ascii="Cambria" w:eastAsia="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cp:revision>
  <dcterms:created xsi:type="dcterms:W3CDTF">2021-05-05T08:44:00Z</dcterms:created>
  <dcterms:modified xsi:type="dcterms:W3CDTF">2021-05-05T08:44:00Z</dcterms:modified>
</cp:coreProperties>
</file>